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67.04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X 00"/>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 00</w:t>
            </w:r>
            <w:r>
              <w:rPr>
                <w:rFonts w:ascii="黑体" w:hAnsi="黑体" w:eastAsia="黑体"/>
                <w:sz w:val="21"/>
                <w:szCs w:val="21"/>
              </w:rPr>
              <w:fldChar w:fldCharType="end"/>
            </w:r>
            <w:bookmarkEnd w:id="1"/>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p>
              </w:tc>
            </w:tr>
          </w:tbl>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p>
      <w:pPr>
        <w:pStyle w:val="53"/>
        <w:framePr w:w="6887" w:h="624" w:hRule="exact" w:hSpace="181" w:vSpace="181" w:wrap="around" w:hAnchor="page" w:x="2621"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pPr>
        <w:pStyle w:val="198"/>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pPr>
        <w:pStyle w:val="199"/>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集体用餐服务通用要求</w:t>
      </w:r>
      <w:r>
        <w:fldChar w:fldCharType="end"/>
      </w:r>
      <w:bookmarkEnd w:id="7"/>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4"/>
        <w:framePr w:h="584" w:hRule="exact" w:hSpace="181" w:vSpace="181" w:wrap="around" w:y="14800"/>
        <w:rPr>
          <w:rFonts w:hAnsi="黑体"/>
        </w:rPr>
      </w:pPr>
      <w:r>
        <w:rPr>
          <w:rFonts w:hint="eastAsia" w:hAnsi="黑体"/>
          <w:w w:val="100"/>
          <w:sz w:val="28"/>
        </w:rPr>
        <w:t>大连市美食文化协会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spacing w:line="20" w:lineRule="exact"/>
        <w:jc w:val="center"/>
        <w:rPr>
          <w:rFonts w:ascii="黑体" w:hAnsi="黑体" w:eastAsia="黑体"/>
          <w:sz w:val="32"/>
          <w:szCs w:val="32"/>
        </w:rPr>
      </w:pPr>
      <w:bookmarkStart w:id="18" w:name="BookMark4"/>
    </w:p>
    <w:p>
      <w:pPr>
        <w:spacing w:line="20" w:lineRule="exact"/>
        <w:jc w:val="center"/>
        <w:rPr>
          <w:rFonts w:ascii="黑体" w:hAnsi="黑体" w:eastAsia="黑体"/>
          <w:sz w:val="32"/>
          <w:szCs w:val="32"/>
        </w:rPr>
      </w:pPr>
    </w:p>
    <w:sdt>
      <w:sdtPr>
        <w:tag w:val="NEW_STAND_NAME"/>
        <w:id w:val="595910757"/>
        <w:lock w:val="sdtLocked"/>
        <w:placeholder>
          <w:docPart w:val="5E2E5B934A5D4C7AAA48884508E834ED"/>
        </w:placeholder>
      </w:sdtPr>
      <w:sdtContent>
        <w:p>
          <w:pPr>
            <w:pStyle w:val="180"/>
          </w:pPr>
          <w:bookmarkStart w:id="19" w:name="NEW_STAND_NAME"/>
          <w:r>
            <w:t>集体用餐服务通用</w:t>
          </w:r>
          <w:r>
            <w:rPr>
              <w:rFonts w:hint="eastAsia"/>
            </w:rPr>
            <w:t>要求</w:t>
          </w:r>
        </w:p>
      </w:sdtContent>
    </w:sdt>
    <w:bookmarkEnd w:id="19"/>
    <w:p>
      <w:pPr>
        <w:pStyle w:val="107"/>
      </w:pPr>
      <w:bookmarkStart w:id="20" w:name="_Toc24884218"/>
      <w:bookmarkStart w:id="21" w:name="_Toc24884211"/>
      <w:bookmarkStart w:id="22" w:name="_Toc26648465"/>
      <w:bookmarkStart w:id="23" w:name="_Toc17233333"/>
      <w:bookmarkStart w:id="24" w:name="_Toc26986530"/>
      <w:bookmarkStart w:id="25" w:name="_Toc97192964"/>
      <w:bookmarkStart w:id="26" w:name="_Toc26986771"/>
      <w:bookmarkStart w:id="27" w:name="_Toc17233325"/>
      <w:bookmarkStart w:id="28" w:name="_Toc26718930"/>
      <w:r>
        <w:rPr>
          <w:rFonts w:hint="eastAsia"/>
        </w:rPr>
        <w:t>范围</w:t>
      </w:r>
      <w:bookmarkEnd w:id="20"/>
      <w:bookmarkEnd w:id="21"/>
      <w:bookmarkEnd w:id="22"/>
      <w:bookmarkEnd w:id="23"/>
      <w:bookmarkEnd w:id="24"/>
      <w:bookmarkEnd w:id="25"/>
      <w:bookmarkEnd w:id="26"/>
      <w:bookmarkEnd w:id="27"/>
      <w:bookmarkEnd w:id="28"/>
    </w:p>
    <w:p>
      <w:pPr>
        <w:pStyle w:val="59"/>
        <w:ind w:firstLine="420"/>
        <w:rPr>
          <w:color w:val="000000" w:themeColor="text1"/>
          <w14:textFill>
            <w14:solidFill>
              <w14:schemeClr w14:val="tx1"/>
            </w14:solidFill>
          </w14:textFill>
        </w:rPr>
      </w:pPr>
      <w:bookmarkStart w:id="29" w:name="_Toc26648466"/>
      <w:bookmarkStart w:id="30" w:name="_Toc17233326"/>
      <w:bookmarkStart w:id="31" w:name="_Toc24884212"/>
      <w:bookmarkStart w:id="32" w:name="_Toc24884219"/>
      <w:bookmarkStart w:id="33" w:name="_Toc17233334"/>
      <w:r>
        <w:rPr>
          <w:rFonts w:hint="eastAsia"/>
          <w:color w:val="000000" w:themeColor="text1"/>
          <w14:textFill>
            <w14:solidFill>
              <w14:schemeClr w14:val="tx1"/>
            </w14:solidFill>
          </w14:textFill>
        </w:rPr>
        <w:t>本文件规定了</w:t>
      </w:r>
      <w:r>
        <w:rPr>
          <w:rFonts w:hint="eastAsia" w:hAnsi="宋体" w:cs="宋体"/>
          <w:color w:val="000000" w:themeColor="text1"/>
          <w14:textFill>
            <w14:solidFill>
              <w14:schemeClr w14:val="tx1"/>
            </w14:solidFill>
          </w14:textFill>
        </w:rPr>
        <w:t>集体用餐服务</w:t>
      </w:r>
      <w:r>
        <w:rPr>
          <w:rFonts w:hint="eastAsia"/>
          <w:color w:val="000000" w:themeColor="text1"/>
          <w14:textFill>
            <w14:solidFill>
              <w14:schemeClr w14:val="tx1"/>
            </w14:solidFill>
          </w14:textFill>
        </w:rPr>
        <w:t>中的术语和定义、基本要求、营养、服务、成品技术要求</w:t>
      </w:r>
      <w:r>
        <w:rPr>
          <w:rFonts w:hint="eastAsia"/>
          <w:color w:val="000000" w:themeColor="text1"/>
          <w14:textFill>
            <w14:solidFill>
              <w14:schemeClr w14:val="tx1"/>
            </w14:solidFill>
          </w14:textFill>
        </w:rPr>
        <w:t>、安全。</w:t>
      </w:r>
    </w:p>
    <w:p>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本文件适用于集体用餐服务中的食品安全及相关技术服务工作。</w:t>
      </w:r>
    </w:p>
    <w:p>
      <w:pPr>
        <w:pStyle w:val="107"/>
        <w:rPr>
          <w:color w:val="000000" w:themeColor="text1"/>
          <w14:textFill>
            <w14:solidFill>
              <w14:schemeClr w14:val="tx1"/>
            </w14:solidFill>
          </w14:textFill>
        </w:rPr>
      </w:pPr>
      <w:bookmarkStart w:id="34" w:name="_Toc97192965"/>
      <w:bookmarkStart w:id="35" w:name="_Toc26718931"/>
      <w:bookmarkStart w:id="36" w:name="_Toc26986772"/>
      <w:bookmarkStart w:id="37" w:name="_Toc26986531"/>
      <w:r>
        <w:rPr>
          <w:rFonts w:hint="eastAsia"/>
          <w:color w:val="000000" w:themeColor="text1"/>
          <w14:textFill>
            <w14:solidFill>
              <w14:schemeClr w14:val="tx1"/>
            </w14:solidFill>
          </w14:textFill>
        </w:rPr>
        <w:t>规范性引用文件</w:t>
      </w:r>
      <w:bookmarkEnd w:id="29"/>
      <w:bookmarkEnd w:id="30"/>
      <w:bookmarkEnd w:id="31"/>
      <w:bookmarkEnd w:id="32"/>
      <w:bookmarkEnd w:id="33"/>
      <w:bookmarkEnd w:id="34"/>
      <w:bookmarkEnd w:id="35"/>
      <w:bookmarkEnd w:id="36"/>
      <w:bookmarkEnd w:id="37"/>
    </w:p>
    <w:sdt>
      <w:sdtPr>
        <w:rPr>
          <w:rFonts w:hint="eastAsia"/>
          <w:color w:val="000000" w:themeColor="text1"/>
          <w14:textFill>
            <w14:solidFill>
              <w14:schemeClr w14:val="tx1"/>
            </w14:solidFill>
          </w14:textFill>
        </w:rPr>
        <w:id w:val="715848253"/>
        <w:placeholder>
          <w:docPart w:val="3C6AA071A0D34735AD593B125E37C0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2760</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食品安全国家标准 食品添加剂使用标准</w:t>
      </w:r>
    </w:p>
    <w:p>
      <w:pPr>
        <w:pStyle w:val="59"/>
        <w:ind w:firstLine="420"/>
        <w:rPr>
          <w:strike/>
          <w:color w:val="000000" w:themeColor="text1"/>
          <w:szCs w:val="21"/>
          <w14:textFill>
            <w14:solidFill>
              <w14:schemeClr w14:val="tx1"/>
            </w14:solidFill>
          </w14:textFill>
        </w:rPr>
      </w:pPr>
      <w:r>
        <w:rPr>
          <w:color w:val="000000" w:themeColor="text1"/>
          <w:szCs w:val="21"/>
          <w:shd w:val="clear" w:color="auto" w:fill="FFFFFF"/>
          <w14:textFill>
            <w14:solidFill>
              <w14:schemeClr w14:val="tx1"/>
            </w14:solidFill>
          </w14:textFill>
        </w:rPr>
        <w:t>GB 2761  食品安全国家标准 食品中真菌毒素限量</w:t>
      </w:r>
    </w:p>
    <w:p>
      <w:pPr>
        <w:pStyle w:val="59"/>
        <w:ind w:firstLine="420"/>
        <w:rPr>
          <w:rFonts w:ascii="Calibri" w:hAnsi="Calibri"/>
          <w:color w:val="000000" w:themeColor="text1"/>
          <w:kern w:val="2"/>
          <w:szCs w:val="21"/>
          <w14:textFill>
            <w14:solidFill>
              <w14:schemeClr w14:val="tx1"/>
            </w14:solidFill>
          </w14:textFill>
        </w:rPr>
      </w:pPr>
      <w:r>
        <w:rPr>
          <w:rFonts w:hint="eastAsia" w:cs="Calibri"/>
          <w:color w:val="000000" w:themeColor="text1"/>
          <w:szCs w:val="21"/>
          <w14:textFill>
            <w14:solidFill>
              <w14:schemeClr w14:val="tx1"/>
            </w14:solidFill>
          </w14:textFill>
        </w:rPr>
        <w:t>GB 2762</w:t>
      </w:r>
      <w:r>
        <w:rPr>
          <w:rFonts w:cs="Calibri"/>
          <w:color w:val="000000" w:themeColor="text1"/>
          <w:szCs w:val="21"/>
          <w14:textFill>
            <w14:solidFill>
              <w14:schemeClr w14:val="tx1"/>
            </w14:solidFill>
          </w14:textFill>
        </w:rPr>
        <w:t xml:space="preserve">  </w:t>
      </w:r>
      <w:r>
        <w:rPr>
          <w:color w:val="000000" w:themeColor="text1"/>
          <w:szCs w:val="21"/>
          <w:shd w:val="clear" w:color="auto" w:fill="FFFFFF"/>
          <w14:textFill>
            <w14:solidFill>
              <w14:schemeClr w14:val="tx1"/>
            </w14:solidFill>
          </w14:textFill>
        </w:rPr>
        <w:t>食品安全国家标准 食品中污染物限量</w:t>
      </w:r>
    </w:p>
    <w:p>
      <w:pPr>
        <w:pStyle w:val="59"/>
        <w:ind w:firstLine="420"/>
        <w:rPr>
          <w:rFonts w:cs="Calibri"/>
          <w:color w:val="000000" w:themeColor="text1"/>
          <w:szCs w:val="21"/>
          <w14:textFill>
            <w14:solidFill>
              <w14:schemeClr w14:val="tx1"/>
            </w14:solidFill>
          </w14:textFill>
        </w:rPr>
      </w:pPr>
      <w:r>
        <w:rPr>
          <w:rFonts w:hint="eastAsia" w:cs="Calibri"/>
          <w:color w:val="000000" w:themeColor="text1"/>
          <w:szCs w:val="21"/>
          <w14:textFill>
            <w14:solidFill>
              <w14:schemeClr w14:val="tx1"/>
            </w14:solidFill>
          </w14:textFill>
        </w:rPr>
        <w:t>GB 2763</w:t>
      </w:r>
      <w:r>
        <w:rPr>
          <w:rFonts w:cs="Calibri"/>
          <w:color w:val="000000" w:themeColor="text1"/>
          <w:szCs w:val="21"/>
          <w14:textFill>
            <w14:solidFill>
              <w14:schemeClr w14:val="tx1"/>
            </w14:solidFill>
          </w14:textFill>
        </w:rPr>
        <w:t xml:space="preserve">  </w:t>
      </w:r>
      <w:r>
        <w:rPr>
          <w:color w:val="000000" w:themeColor="text1"/>
          <w:szCs w:val="21"/>
          <w:shd w:val="clear" w:color="auto" w:fill="FFFFFF"/>
          <w14:textFill>
            <w14:solidFill>
              <w14:schemeClr w14:val="tx1"/>
            </w14:solidFill>
          </w14:textFill>
        </w:rPr>
        <w:t>食品安全国家标准 食品中农药最大残留限量</w:t>
      </w:r>
      <w:bookmarkStart w:id="40" w:name="_GoBack"/>
      <w:bookmarkEnd w:id="40"/>
    </w:p>
    <w:p>
      <w:pPr>
        <w:pStyle w:val="59"/>
        <w:ind w:firstLine="445" w:firstLineChars="212"/>
        <w:rPr>
          <w:rFonts w:cs="Calibri"/>
          <w:color w:val="000000" w:themeColor="text1"/>
          <w:szCs w:val="21"/>
          <w14:textFill>
            <w14:solidFill>
              <w14:schemeClr w14:val="tx1"/>
            </w14:solidFill>
          </w14:textFill>
        </w:rPr>
      </w:pPr>
      <w:r>
        <w:rPr>
          <w:rFonts w:hint="eastAsia" w:cs="Calibri"/>
          <w:color w:val="000000" w:themeColor="text1"/>
          <w:szCs w:val="21"/>
          <w14:textFill>
            <w14:solidFill>
              <w14:schemeClr w14:val="tx1"/>
            </w14:solidFill>
          </w14:textFill>
        </w:rPr>
        <w:t xml:space="preserve">GB/T 4789.3—2003 </w:t>
      </w:r>
      <w:r>
        <w:rPr>
          <w:rFonts w:cs="Calibri"/>
          <w:color w:val="000000" w:themeColor="text1"/>
          <w:szCs w:val="21"/>
          <w14:textFill>
            <w14:solidFill>
              <w14:schemeClr w14:val="tx1"/>
            </w14:solidFill>
          </w14:textFill>
        </w:rPr>
        <w:t xml:space="preserve"> </w:t>
      </w:r>
      <w:r>
        <w:rPr>
          <w:rFonts w:hint="eastAsia" w:cs="Calibri"/>
          <w:color w:val="000000" w:themeColor="text1"/>
          <w:szCs w:val="21"/>
          <w14:textFill>
            <w14:solidFill>
              <w14:schemeClr w14:val="tx1"/>
            </w14:solidFill>
          </w14:textFill>
        </w:rPr>
        <w:t>食品卫生微生物学检验 大肠菌群测定</w:t>
      </w:r>
    </w:p>
    <w:p>
      <w:pPr>
        <w:pStyle w:val="59"/>
        <w:ind w:firstLine="440" w:firstLineChars="212"/>
        <w:rPr>
          <w:rFonts w:ascii="Calibri" w:hAnsi="Calibri"/>
          <w:kern w:val="2"/>
          <w:szCs w:val="21"/>
        </w:rPr>
      </w:pPr>
      <w:r>
        <w:rPr>
          <w:rFonts w:hint="eastAsia" w:hAnsi="宋体"/>
          <w:spacing w:val="-1"/>
          <w:szCs w:val="21"/>
        </w:rPr>
        <w:t>GB 4789.4</w:t>
      </w:r>
      <w:r>
        <w:rPr>
          <w:rFonts w:hAnsi="宋体"/>
          <w:spacing w:val="-1"/>
          <w:szCs w:val="21"/>
        </w:rPr>
        <w:t xml:space="preserve">  </w:t>
      </w:r>
      <w:r>
        <w:rPr>
          <w:szCs w:val="21"/>
          <w:shd w:val="clear" w:color="auto" w:fill="FFFFFF"/>
        </w:rPr>
        <w:t>食品安全国家标准 食品微生物学检验 沙门氏菌检验</w:t>
      </w:r>
    </w:p>
    <w:p>
      <w:pPr>
        <w:pStyle w:val="59"/>
        <w:ind w:firstLine="420"/>
        <w:rPr>
          <w:szCs w:val="21"/>
          <w:shd w:val="clear" w:color="auto" w:fill="FFFFFF"/>
        </w:rPr>
      </w:pPr>
      <w:r>
        <w:rPr>
          <w:szCs w:val="21"/>
          <w:shd w:val="clear" w:color="auto" w:fill="FFFFFF"/>
        </w:rPr>
        <w:t>GB 4789.5  食品安全国家标准 食品微生物学检验 志贺氏菌检验</w:t>
      </w:r>
    </w:p>
    <w:p>
      <w:pPr>
        <w:pStyle w:val="59"/>
        <w:ind w:firstLine="416"/>
        <w:rPr>
          <w:szCs w:val="21"/>
          <w:shd w:val="clear" w:color="auto" w:fill="FFFFFF"/>
        </w:rPr>
      </w:pPr>
      <w:r>
        <w:rPr>
          <w:rFonts w:hint="eastAsia" w:hAnsi="宋体"/>
          <w:spacing w:val="-1"/>
          <w:szCs w:val="21"/>
        </w:rPr>
        <w:t>GB 4789.7</w:t>
      </w:r>
      <w:r>
        <w:rPr>
          <w:rFonts w:hAnsi="宋体"/>
          <w:spacing w:val="-1"/>
          <w:szCs w:val="21"/>
        </w:rPr>
        <w:t xml:space="preserve">  </w:t>
      </w:r>
      <w:r>
        <w:rPr>
          <w:szCs w:val="21"/>
          <w:shd w:val="clear" w:color="auto" w:fill="FFFFFF"/>
        </w:rPr>
        <w:t>食品安全国家标准 食品微生物学检验 副溶血性弧菌检验</w:t>
      </w:r>
    </w:p>
    <w:p>
      <w:pPr>
        <w:pStyle w:val="59"/>
        <w:ind w:firstLine="416"/>
        <w:rPr>
          <w:rFonts w:ascii="Calibri" w:hAnsi="Calibri"/>
          <w:kern w:val="2"/>
          <w:szCs w:val="21"/>
        </w:rPr>
      </w:pPr>
      <w:r>
        <w:rPr>
          <w:rFonts w:hint="eastAsia" w:hAnsi="宋体"/>
          <w:spacing w:val="-1"/>
          <w:szCs w:val="21"/>
        </w:rPr>
        <w:t>GB 4789.10</w:t>
      </w:r>
      <w:r>
        <w:rPr>
          <w:rFonts w:hAnsi="宋体"/>
          <w:spacing w:val="-1"/>
          <w:szCs w:val="21"/>
        </w:rPr>
        <w:t xml:space="preserve">  </w:t>
      </w:r>
      <w:r>
        <w:rPr>
          <w:szCs w:val="21"/>
          <w:shd w:val="clear" w:color="auto" w:fill="FFFFFF"/>
        </w:rPr>
        <w:t>食品安全国家标准 食品微生物学检验 金黄色葡萄球菌检验</w:t>
      </w:r>
    </w:p>
    <w:p>
      <w:pPr>
        <w:pStyle w:val="59"/>
        <w:ind w:firstLine="420"/>
        <w:rPr>
          <w:szCs w:val="21"/>
          <w:shd w:val="clear" w:color="auto" w:fill="FFFFFF"/>
        </w:rPr>
      </w:pPr>
      <w:r>
        <w:rPr>
          <w:szCs w:val="21"/>
          <w:shd w:val="clear" w:color="auto" w:fill="FFFFFF"/>
        </w:rPr>
        <w:t>GB 4789.14  食品安全国家标准 食品微生物学检验 蜡样芽胞杆菌检验</w:t>
      </w:r>
    </w:p>
    <w:p>
      <w:pPr>
        <w:pStyle w:val="59"/>
        <w:ind w:firstLine="420"/>
        <w:rPr>
          <w:szCs w:val="21"/>
          <w:shd w:val="clear" w:color="auto" w:fill="FFFFFF"/>
        </w:rPr>
      </w:pPr>
      <w:r>
        <w:rPr>
          <w:szCs w:val="21"/>
          <w:shd w:val="clear" w:color="auto" w:fill="FFFFFF"/>
        </w:rPr>
        <w:t>GB 4789.30  食品安全国家标准 食品微生物学检验 单核细胞增生李斯特氏菌检验</w:t>
      </w:r>
    </w:p>
    <w:p>
      <w:pPr>
        <w:pStyle w:val="59"/>
        <w:ind w:firstLine="420"/>
        <w:rPr>
          <w:szCs w:val="21"/>
          <w:shd w:val="clear" w:color="auto" w:fill="FFFFFF"/>
        </w:rPr>
      </w:pPr>
      <w:r>
        <w:rPr>
          <w:szCs w:val="21"/>
          <w:shd w:val="clear" w:color="auto" w:fill="FFFFFF"/>
        </w:rPr>
        <w:t>GB 4789.36  食品安全国家标准 食品微生物学检验 大肠埃希氏菌O157:H7/NM检验</w:t>
      </w:r>
    </w:p>
    <w:p>
      <w:pPr>
        <w:pStyle w:val="59"/>
        <w:ind w:firstLine="420"/>
        <w:rPr>
          <w:szCs w:val="21"/>
          <w:shd w:val="clear" w:color="auto" w:fill="FFFFFF"/>
        </w:rPr>
      </w:pPr>
      <w:r>
        <w:rPr>
          <w:szCs w:val="21"/>
          <w:shd w:val="clear" w:color="auto" w:fill="FFFFFF"/>
        </w:rPr>
        <w:t>GB 4789.38  食品安全国家标准 食品微生物学检验 大肠埃希氏菌计数</w:t>
      </w:r>
    </w:p>
    <w:p>
      <w:pPr>
        <w:pStyle w:val="59"/>
        <w:ind w:firstLine="420"/>
        <w:rPr>
          <w:szCs w:val="21"/>
        </w:rPr>
      </w:pPr>
      <w:r>
        <w:rPr>
          <w:rFonts w:hint="eastAsia"/>
          <w:szCs w:val="21"/>
        </w:rPr>
        <w:t>GB 14881  食品安全国家标准 食品生产通用卫生规范</w:t>
      </w:r>
    </w:p>
    <w:p>
      <w:pPr>
        <w:pStyle w:val="59"/>
        <w:ind w:firstLine="420"/>
        <w:rPr>
          <w:szCs w:val="21"/>
        </w:rPr>
      </w:pPr>
      <w:r>
        <w:rPr>
          <w:rFonts w:hint="eastAsia"/>
          <w:szCs w:val="21"/>
        </w:rPr>
        <w:t>GB 31603  食品安全国家标准 食品接触材料及制品生产通用卫生规范</w:t>
      </w:r>
    </w:p>
    <w:p>
      <w:pPr>
        <w:pStyle w:val="59"/>
        <w:ind w:firstLine="420"/>
        <w:rPr>
          <w:szCs w:val="21"/>
        </w:rPr>
      </w:pPr>
      <w:r>
        <w:rPr>
          <w:rFonts w:hint="eastAsia"/>
          <w:szCs w:val="21"/>
        </w:rPr>
        <w:t>GB 31654  食品安全国家标准 餐饮服务通用卫生规范</w:t>
      </w:r>
    </w:p>
    <w:p>
      <w:pPr>
        <w:pStyle w:val="107"/>
      </w:pPr>
      <w:bookmarkStart w:id="38" w:name="_Toc97192966"/>
      <w:r>
        <w:rPr>
          <w:rFonts w:hint="eastAsia"/>
        </w:rPr>
        <w:t>术语和定义</w:t>
      </w:r>
      <w:bookmarkEnd w:id="38"/>
    </w:p>
    <w:sdt>
      <w:sdtPr>
        <w:id w:val="-1909835108"/>
        <w:placeholder>
          <w:docPart w:val="DF3AAE8A0AE64B5AB15C4E3D8D326E0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39" w:name="_Toc26986532"/>
          <w:bookmarkEnd w:id="39"/>
          <w:r>
            <w:t>下列术语和定义适用于本文件。</w:t>
          </w:r>
        </w:p>
      </w:sdtContent>
    </w:sdt>
    <w:p>
      <w:pPr>
        <w:pStyle w:val="226"/>
        <w:ind w:left="420" w:hanging="420" w:hangingChars="200"/>
        <w:rPr>
          <w:rFonts w:ascii="黑体" w:hAnsi="黑体" w:eastAsia="黑体"/>
        </w:rPr>
      </w:pPr>
    </w:p>
    <w:p>
      <w:pPr>
        <w:pStyle w:val="226"/>
        <w:numPr>
          <w:ilvl w:val="0"/>
          <w:numId w:val="0"/>
        </w:numPr>
        <w:ind w:left="420"/>
        <w:rPr>
          <w:rFonts w:hint="eastAsia" w:ascii="黑体" w:hAnsi="黑体" w:eastAsia="黑体"/>
          <w:lang w:val="en-US" w:eastAsia="zh-CN"/>
        </w:rPr>
      </w:pPr>
      <w:r>
        <w:rPr>
          <w:rFonts w:hint="eastAsia" w:ascii="黑体" w:hAnsi="黑体" w:eastAsia="黑体"/>
        </w:rPr>
        <w:t>集体用餐</w:t>
      </w:r>
      <w:r>
        <w:rPr>
          <w:rFonts w:hint="eastAsia" w:ascii="黑体" w:hAnsi="黑体" w:eastAsia="黑体"/>
          <w:lang w:val="en-US" w:eastAsia="zh-CN"/>
        </w:rPr>
        <w:t>膳食</w:t>
      </w:r>
    </w:p>
    <w:p>
      <w:pPr>
        <w:pStyle w:val="59"/>
        <w:ind w:firstLine="420"/>
      </w:pPr>
      <w:r>
        <w:rPr>
          <w:rFonts w:hint="eastAsia"/>
        </w:rPr>
        <w:t>集体用餐单位加工制作的热菜和凉菜，加工后使用容器进行贮存、运输，在供餐场所进行分餐（单人份）的膳食。</w:t>
      </w:r>
    </w:p>
    <w:p>
      <w:pPr>
        <w:pStyle w:val="226"/>
        <w:ind w:left="420" w:hanging="420" w:hangingChars="200"/>
        <w:rPr>
          <w:rFonts w:ascii="黑体" w:hAnsi="黑体" w:eastAsia="黑体"/>
          <w:snapToGrid w:val="0"/>
          <w:lang w:bidi="ar"/>
        </w:rPr>
      </w:pPr>
    </w:p>
    <w:p>
      <w:pPr>
        <w:pStyle w:val="226"/>
        <w:numPr>
          <w:ilvl w:val="0"/>
          <w:numId w:val="0"/>
        </w:numPr>
        <w:ind w:left="420"/>
        <w:rPr>
          <w:rFonts w:hint="eastAsia" w:ascii="黑体" w:hAnsi="黑体" w:eastAsia="黑体"/>
          <w:snapToGrid w:val="0"/>
          <w:lang w:val="en-US" w:eastAsia="zh-CN" w:bidi="ar"/>
        </w:rPr>
      </w:pPr>
      <w:r>
        <w:rPr>
          <w:rFonts w:hint="eastAsia" w:ascii="黑体" w:hAnsi="黑体" w:eastAsia="黑体"/>
          <w:snapToGrid w:val="0"/>
          <w:lang w:bidi="ar"/>
        </w:rPr>
        <w:t>集体用餐配送</w:t>
      </w:r>
      <w:r>
        <w:rPr>
          <w:rFonts w:hint="eastAsia" w:ascii="黑体" w:hAnsi="黑体" w:eastAsia="黑体"/>
          <w:snapToGrid w:val="0"/>
          <w:lang w:val="en-US" w:eastAsia="zh-CN" w:bidi="ar"/>
        </w:rPr>
        <w:t>膳食</w:t>
      </w:r>
    </w:p>
    <w:p>
      <w:pPr>
        <w:pStyle w:val="59"/>
        <w:ind w:firstLine="420"/>
        <w:rPr>
          <w:snapToGrid w:val="0"/>
          <w:lang w:bidi="ar"/>
        </w:rPr>
      </w:pPr>
      <w:r>
        <w:rPr>
          <w:rFonts w:hint="eastAsia"/>
          <w:snapToGrid w:val="0"/>
          <w:lang w:bidi="ar"/>
        </w:rPr>
        <w:t>集体用餐配送企业加工制作的热菜，采用热链工艺或冷链工艺分装、配送的膳食，根据分装形式分为盒饭和桶饭。</w:t>
      </w:r>
    </w:p>
    <w:p>
      <w:pPr>
        <w:pStyle w:val="226"/>
        <w:ind w:left="420" w:hanging="420" w:hangingChars="200"/>
        <w:rPr>
          <w:rFonts w:ascii="黑体" w:hAnsi="黑体" w:eastAsia="黑体"/>
          <w:snapToGrid w:val="0"/>
          <w:lang w:bidi="ar"/>
        </w:rPr>
      </w:pPr>
    </w:p>
    <w:p>
      <w:pPr>
        <w:pStyle w:val="226"/>
        <w:numPr>
          <w:ilvl w:val="0"/>
          <w:numId w:val="0"/>
        </w:numPr>
        <w:ind w:left="420"/>
        <w:rPr>
          <w:rFonts w:ascii="黑体" w:hAnsi="黑体" w:eastAsia="黑体"/>
          <w:snapToGrid w:val="0"/>
          <w:lang w:bidi="ar"/>
        </w:rPr>
      </w:pPr>
      <w:r>
        <w:rPr>
          <w:rFonts w:hint="eastAsia" w:ascii="黑体" w:hAnsi="黑体" w:eastAsia="黑体"/>
          <w:snapToGrid w:val="0"/>
          <w:lang w:bidi="ar"/>
        </w:rPr>
        <w:t>热菜</w:t>
      </w:r>
    </w:p>
    <w:p>
      <w:pPr>
        <w:pStyle w:val="59"/>
        <w:ind w:firstLine="420"/>
        <w:rPr>
          <w:snapToGrid w:val="0"/>
          <w:lang w:bidi="ar"/>
        </w:rPr>
      </w:pPr>
      <w:r>
        <w:rPr>
          <w:rFonts w:hint="eastAsia"/>
          <w:snapToGrid w:val="0"/>
          <w:lang w:bidi="ar"/>
        </w:rPr>
        <w:t xml:space="preserve">制作过程中，所有组分均经彻底加热处理(加工时膳食中心温度应不低于70℃)的膳食。 </w:t>
      </w:r>
    </w:p>
    <w:p>
      <w:pPr>
        <w:pStyle w:val="226"/>
        <w:ind w:left="420" w:hanging="420" w:hangingChars="200"/>
        <w:rPr>
          <w:rFonts w:ascii="黑体" w:hAnsi="黑体" w:eastAsia="黑体"/>
          <w:snapToGrid w:val="0"/>
          <w:lang w:bidi="ar"/>
        </w:rPr>
      </w:pPr>
      <w:r>
        <w:rPr>
          <w:rFonts w:ascii="黑体" w:hAnsi="黑体" w:eastAsia="黑体"/>
          <w:snapToGrid w:val="0"/>
          <w:lang w:bidi="ar"/>
        </w:rPr>
        <w:br w:type="textWrapping"/>
      </w:r>
      <w:r>
        <w:rPr>
          <w:rFonts w:hint="eastAsia" w:ascii="黑体" w:hAnsi="黑体" w:eastAsia="黑体"/>
          <w:snapToGrid w:val="0"/>
          <w:lang w:bidi="ar"/>
        </w:rPr>
        <w:t>凉菜</w:t>
      </w:r>
    </w:p>
    <w:p>
      <w:pPr>
        <w:pStyle w:val="59"/>
        <w:ind w:firstLine="420"/>
      </w:pPr>
      <w:r>
        <w:rPr>
          <w:rFonts w:hint="eastAsia"/>
        </w:rPr>
        <w:t>对经过烹制成熟或者腌渍入味后的食品进行简单制作并装盘，一般无需加热即可食用</w:t>
      </w:r>
      <w:r>
        <w:rPr>
          <w:rFonts w:hint="eastAsia"/>
          <w:color w:val="000000" w:themeColor="text1"/>
          <w14:textFill>
            <w14:solidFill>
              <w14:schemeClr w14:val="tx1"/>
            </w14:solidFill>
          </w14:textFill>
        </w:rPr>
        <w:t>的膳食（</w:t>
      </w:r>
      <w:r>
        <w:rPr>
          <w:rFonts w:hint="eastAsia"/>
        </w:rPr>
        <w:t>不包括生食海鲜、裱花蛋糕等）。</w:t>
      </w:r>
    </w:p>
    <w:p>
      <w:pPr>
        <w:pStyle w:val="59"/>
        <w:ind w:firstLine="420"/>
        <w:rPr>
          <w:snapToGrid w:val="0"/>
          <w:lang w:bidi="ar"/>
        </w:rPr>
      </w:pPr>
      <w:r>
        <w:rPr>
          <w:rFonts w:hint="eastAsia"/>
          <w:snapToGrid w:val="0"/>
          <w:lang w:bidi="ar"/>
        </w:rPr>
        <w:t>注：凉菜包括对于植物性食品原料不作加热等加工处理或仅作简单调味处理后直接食用的食品。</w:t>
      </w:r>
    </w:p>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中心温度</w:t>
      </w:r>
    </w:p>
    <w:p>
      <w:pPr>
        <w:pStyle w:val="59"/>
        <w:ind w:firstLine="420"/>
      </w:pPr>
      <w:r>
        <w:rPr>
          <w:rFonts w:hint="eastAsia"/>
        </w:rPr>
        <w:t>块状食品或有容器存放的液态食品的中心部位的温度。</w:t>
      </w:r>
    </w:p>
    <w:p>
      <w:pPr>
        <w:pStyle w:val="107"/>
      </w:pPr>
      <w:r>
        <w:rPr>
          <w:rFonts w:hint="eastAsia"/>
        </w:rPr>
        <w:t>基本要求</w:t>
      </w:r>
    </w:p>
    <w:p>
      <w:pPr>
        <w:pStyle w:val="165"/>
      </w:pPr>
      <w:r>
        <w:rPr>
          <w:rFonts w:hint="eastAsia"/>
        </w:rPr>
        <w:t>集体用餐单位食堂、集体用餐配送单位应取得相关资质，并相应建立基本食品安全管理制度。</w:t>
      </w:r>
    </w:p>
    <w:p>
      <w:pPr>
        <w:pStyle w:val="165"/>
      </w:pPr>
      <w:r>
        <w:rPr>
          <w:rFonts w:hint="eastAsia"/>
        </w:rPr>
        <w:t>集体用餐单位餐饮服务人员应取得从业人员健康证。</w:t>
      </w:r>
    </w:p>
    <w:p>
      <w:pPr>
        <w:pStyle w:val="165"/>
      </w:pPr>
      <w:r>
        <w:rPr>
          <w:rFonts w:hint="eastAsia"/>
        </w:rPr>
        <w:t>原料污染物限量应符合GB 2762的规定，原料农药残留限量应符合GB 2763的规定，真菌毒素限量应符合GB 2761的规定。</w:t>
      </w:r>
    </w:p>
    <w:p>
      <w:pPr>
        <w:pStyle w:val="165"/>
      </w:pPr>
      <w:r>
        <w:rPr>
          <w:rFonts w:hint="eastAsia"/>
        </w:rPr>
        <w:t>集体用餐单位餐饮服务中各环节应符合 GB 31654 的要求。</w:t>
      </w:r>
    </w:p>
    <w:p>
      <w:pPr>
        <w:pStyle w:val="165"/>
      </w:pPr>
      <w:r>
        <w:rPr>
          <w:rFonts w:hint="eastAsia"/>
        </w:rPr>
        <w:t>设备设施应符合GB 14881的规定。</w:t>
      </w:r>
    </w:p>
    <w:p>
      <w:pPr>
        <w:pStyle w:val="165"/>
      </w:pPr>
      <w:r>
        <w:rPr>
          <w:rFonts w:hint="eastAsia"/>
        </w:rPr>
        <w:t>应对特殊群体的年龄、健康状况、民族结构等进行登记，依据实际情况，合理搭配膳食。</w:t>
      </w:r>
    </w:p>
    <w:p>
      <w:pPr>
        <w:pStyle w:val="165"/>
      </w:pPr>
      <w:r>
        <w:rPr>
          <w:rFonts w:hint="eastAsia"/>
        </w:rPr>
        <w:t>应每季度定期对配餐情况及各项管理制度坚持情况进行评价</w:t>
      </w:r>
      <w:r>
        <w:t>。</w:t>
      </w:r>
    </w:p>
    <w:p>
      <w:pPr>
        <w:pStyle w:val="165"/>
      </w:pPr>
      <w:r>
        <w:rPr>
          <w:rFonts w:hint="eastAsia"/>
        </w:rPr>
        <w:t>进货查验记录和相关凭证的保存期限不得少于</w:t>
      </w:r>
      <w:r>
        <w:fldChar w:fldCharType="begin"/>
      </w:r>
      <w:r>
        <w:instrText xml:space="preserve"> HYPERLINK "https://baike.baidu.com/item/%E4%BA%A7%E5%93%81%E4%BF%9D%E8%B4%A8/18959427?fromModule=lemma_inlink" \t "https://baike.baidu.com/item/%E9%A4%90%E9%A5%AE%E6%9C%8D%E5%8A%A1%E9%A3%9F%E5%93%81%E5%AE%89%E5%85%A8%E6%93%8D%E4%BD%9C%E8%A7%84%E8%8C%83/_blank" </w:instrText>
      </w:r>
      <w:r>
        <w:fldChar w:fldCharType="separate"/>
      </w:r>
      <w:r>
        <w:t>产品保质</w:t>
      </w:r>
      <w:r>
        <w:fldChar w:fldCharType="end"/>
      </w:r>
      <w:r>
        <w:t>期满后6个月；没有明确保质期的，保存期限不得少于2年。其他各项记录保存期限宜为2年</w:t>
      </w:r>
      <w:r>
        <w:rPr>
          <w:rFonts w:hint="eastAsia"/>
        </w:rPr>
        <w:t>。</w:t>
      </w:r>
    </w:p>
    <w:p>
      <w:pPr>
        <w:pStyle w:val="165"/>
      </w:pPr>
      <w:r>
        <w:rPr>
          <w:rFonts w:hint="eastAsia"/>
        </w:rPr>
        <w:t>提供餐饮服务单位食物及其原材料的采购、仓储、处理、烹饪加工、留样均需严格执行餐饮安全操作规范，防止交叉污染。</w:t>
      </w:r>
    </w:p>
    <w:p>
      <w:pPr>
        <w:pStyle w:val="165"/>
      </w:pPr>
      <w:r>
        <w:rPr>
          <w:rFonts w:hint="eastAsia"/>
        </w:rPr>
        <w:t>原料与包装材料要求应符合GB 31603要求。</w:t>
      </w:r>
    </w:p>
    <w:p>
      <w:pPr>
        <w:pStyle w:val="165"/>
      </w:pPr>
      <w:r>
        <w:rPr>
          <w:rFonts w:hint="eastAsia"/>
        </w:rPr>
        <w:t>服务单位应定期检查防鼠、防蝇、防虫害装置的使用情况及安全消杀执行情况，并有相应检查记录，保证厨房内无虫害迹象。</w:t>
      </w:r>
    </w:p>
    <w:p>
      <w:pPr>
        <w:pStyle w:val="107"/>
      </w:pPr>
      <w:r>
        <w:rPr>
          <w:rFonts w:hint="eastAsia"/>
        </w:rPr>
        <w:t>营养要求</w:t>
      </w:r>
    </w:p>
    <w:p>
      <w:pPr>
        <w:pStyle w:val="108"/>
        <w:spacing w:before="120" w:after="120"/>
      </w:pPr>
      <w:r>
        <w:rPr>
          <w:rFonts w:hint="eastAsia"/>
        </w:rPr>
        <w:t>普通居民</w:t>
      </w:r>
    </w:p>
    <w:p>
      <w:pPr>
        <w:widowControl/>
        <w:ind w:firstLine="420" w:firstLineChars="200"/>
        <w:jc w:val="left"/>
        <w:rPr>
          <w:rFonts w:ascii="宋体" w:hAnsi="宋体"/>
          <w:color w:val="000000"/>
          <w:kern w:val="0"/>
        </w:rPr>
      </w:pPr>
      <w:r>
        <w:rPr>
          <w:rFonts w:hint="eastAsia" w:ascii="宋体" w:hAnsi="宋体"/>
          <w:color w:val="000000"/>
          <w:kern w:val="0"/>
        </w:rPr>
        <w:t>参照《中国居民膳食营养素参考摄入量 (2023版) 》。</w:t>
      </w:r>
    </w:p>
    <w:p>
      <w:pPr>
        <w:pStyle w:val="108"/>
        <w:spacing w:before="120" w:after="120"/>
      </w:pPr>
      <w:r>
        <w:rPr>
          <w:rFonts w:hint="eastAsia"/>
        </w:rPr>
        <w:t>特殊群体营养需求</w:t>
      </w:r>
    </w:p>
    <w:p>
      <w:pPr>
        <w:pStyle w:val="68"/>
        <w:spacing w:before="120" w:after="120"/>
      </w:pPr>
      <w:r>
        <w:rPr>
          <w:rFonts w:hint="eastAsia"/>
        </w:rPr>
        <w:t>学生</w:t>
      </w:r>
    </w:p>
    <w:p>
      <w:pPr>
        <w:pStyle w:val="97"/>
        <w:spacing w:before="120" w:after="120"/>
      </w:pPr>
      <w:r>
        <w:rPr>
          <w:rFonts w:hint="eastAsia"/>
        </w:rPr>
        <w:t>谷类</w:t>
      </w:r>
    </w:p>
    <w:p>
      <w:pPr>
        <w:pStyle w:val="59"/>
        <w:ind w:firstLine="420"/>
      </w:pPr>
      <w:r>
        <w:rPr>
          <w:rFonts w:hint="eastAsia"/>
        </w:rPr>
        <w:t>包括米、面、杂粮和薯类等，可用杂粮或薯类部分替代米或面，避免长期提供一种主食。</w:t>
      </w:r>
    </w:p>
    <w:p>
      <w:pPr>
        <w:pStyle w:val="97"/>
        <w:spacing w:before="120" w:after="120"/>
      </w:pPr>
      <w:r>
        <w:rPr>
          <w:rFonts w:hint="eastAsia"/>
        </w:rPr>
        <w:t>蔬菜水果类</w:t>
      </w:r>
    </w:p>
    <w:p>
      <w:pPr>
        <w:pStyle w:val="59"/>
        <w:ind w:firstLine="420"/>
      </w:pPr>
      <w:r>
        <w:rPr>
          <w:rFonts w:hint="eastAsia"/>
        </w:rPr>
        <w:t>每天提供至少三种以上新鲜蔬菜，一半以上为深绿色、红色、橙色、紫色等深色蔬菜，适量提供菌、藻类。有条件的地区可每天提供至少一种新鲜水果。</w:t>
      </w:r>
    </w:p>
    <w:p>
      <w:pPr>
        <w:pStyle w:val="97"/>
        <w:spacing w:before="120" w:after="120"/>
      </w:pPr>
      <w:r>
        <w:rPr>
          <w:rFonts w:hint="eastAsia"/>
        </w:rPr>
        <w:t>鱼禽肉蛋类</w:t>
      </w:r>
    </w:p>
    <w:p>
      <w:pPr>
        <w:pStyle w:val="59"/>
        <w:ind w:firstLine="420"/>
      </w:pPr>
      <w:r>
        <w:rPr>
          <w:rFonts w:hint="eastAsia"/>
        </w:rPr>
        <w:t>禽肉与畜肉互换，鱼与虾、蟹等互换，各种蛋类互换。优先选择水产类或禽类；畜肉以瘦肉为主，少提供肥肉。每周提供1次动物肝脏，每人每次20g~25g。蛋类可分一日三餐提供，也可集中于某一餐提供。</w:t>
      </w:r>
    </w:p>
    <w:p>
      <w:pPr>
        <w:pStyle w:val="97"/>
        <w:spacing w:before="120" w:after="120"/>
      </w:pPr>
      <w:r>
        <w:rPr>
          <w:rFonts w:hint="eastAsia"/>
        </w:rPr>
        <w:t>奶类及大豆</w:t>
      </w:r>
    </w:p>
    <w:p>
      <w:pPr>
        <w:pStyle w:val="59"/>
        <w:ind w:firstLine="420"/>
      </w:pPr>
      <w:r>
        <w:rPr>
          <w:rFonts w:hint="eastAsia"/>
        </w:rPr>
        <w:t>平均每人每天提供200g~300g(一袋/盒)牛奶或相当量的奶制品，如酸奶。每天提供各种大豆或大豆制品，如黄豆、豆腐、豆腐干、腐竹、豆腐脑等。奶及奶制品可分一日三餐提供，也可集中于某一餐提供。</w:t>
      </w:r>
    </w:p>
    <w:p>
      <w:pPr>
        <w:pStyle w:val="97"/>
        <w:spacing w:before="120" w:after="120"/>
      </w:pPr>
      <w:r>
        <w:rPr>
          <w:rFonts w:hint="eastAsia"/>
        </w:rPr>
        <w:t>控油限盐</w:t>
      </w:r>
    </w:p>
    <w:p>
      <w:pPr>
        <w:pStyle w:val="59"/>
        <w:ind w:firstLine="420"/>
      </w:pPr>
      <w:r>
        <w:rPr>
          <w:rFonts w:hint="eastAsia"/>
        </w:rPr>
        <w:t>学生餐要清淡，每人每天烹调油用量不超过30g；控制食盐摄入，包括酱油和其他食物的食盐在内，提供的食盐不超过每人每天6g。</w:t>
      </w:r>
    </w:p>
    <w:p>
      <w:pPr>
        <w:pStyle w:val="68"/>
        <w:spacing w:before="120" w:after="120"/>
      </w:pPr>
      <w:r>
        <w:rPr>
          <w:rFonts w:hint="eastAsia"/>
        </w:rPr>
        <w:t>老人</w:t>
      </w:r>
    </w:p>
    <w:p>
      <w:pPr>
        <w:pStyle w:val="167"/>
      </w:pPr>
      <w:r>
        <w:rPr>
          <w:rFonts w:hint="eastAsia"/>
        </w:rPr>
        <w:t>餐饮服务单位应充分了解老人需求，制定配餐计划前进行评估(评估内容包括但不限于老人基本情况、营养状况、疾病与健康情况、吞咽情况等信息)。</w:t>
      </w:r>
    </w:p>
    <w:p>
      <w:pPr>
        <w:pStyle w:val="167"/>
      </w:pPr>
      <w:r>
        <w:rPr>
          <w:rFonts w:hint="eastAsia"/>
        </w:rPr>
        <w:t>为身体健康且年龄在75周岁以下的老人提供的普通餐食。每日能提供2000~2600</w:t>
      </w:r>
      <w:r>
        <w:t xml:space="preserve"> </w:t>
      </w:r>
      <w:r>
        <w:rPr>
          <w:rFonts w:hint="eastAsia"/>
        </w:rPr>
        <w:t>kca1的总热量。应合理膳食、食物多样、制作细软、均衡营养。</w:t>
      </w:r>
    </w:p>
    <w:p>
      <w:pPr>
        <w:pStyle w:val="167"/>
      </w:pPr>
      <w:r>
        <w:rPr>
          <w:rFonts w:hint="eastAsia"/>
        </w:rPr>
        <w:t>年龄超过 75 周岁的老人提供软食或以软食为主，每日能提供2000</w:t>
      </w:r>
      <w:r>
        <w:t xml:space="preserve"> </w:t>
      </w:r>
      <w:r>
        <w:rPr>
          <w:rFonts w:hint="eastAsia"/>
        </w:rPr>
        <w:t>~2400 kca1的总热量。</w:t>
      </w:r>
    </w:p>
    <w:p>
      <w:pPr>
        <w:pStyle w:val="167"/>
      </w:pPr>
      <w:r>
        <w:rPr>
          <w:rFonts w:hint="eastAsia"/>
        </w:rPr>
        <w:t>糖尿病老人避免提供油炸食品，宜增加膳食纤维的量，多提供蔬菜、麦麸、豆类等。</w:t>
      </w:r>
    </w:p>
    <w:p>
      <w:pPr>
        <w:pStyle w:val="167"/>
      </w:pPr>
      <w:r>
        <w:rPr>
          <w:rFonts w:hint="eastAsia"/>
        </w:rPr>
        <w:t>高血压老人控制所提供餐饮的热量，多提供蔬菜和水果，每日所提供餐食中盐的摄入量不得超过6g。</w:t>
      </w:r>
    </w:p>
    <w:p>
      <w:pPr>
        <w:pStyle w:val="167"/>
      </w:pPr>
      <w:r>
        <w:rPr>
          <w:rFonts w:hint="eastAsia"/>
        </w:rPr>
        <w:t>痛风患者的膳食应注重选择低漂吟食物。</w:t>
      </w:r>
    </w:p>
    <w:p>
      <w:pPr>
        <w:pStyle w:val="167"/>
      </w:pPr>
      <w:r>
        <w:rPr>
          <w:rFonts w:hint="eastAsia"/>
        </w:rPr>
        <w:t>便秘老人的膳食应提高富含膳食纤维的食物比例，如蔬菜、水果、粗杂粮等。</w:t>
      </w:r>
    </w:p>
    <w:p>
      <w:pPr>
        <w:pStyle w:val="107"/>
      </w:pPr>
      <w:r>
        <w:rPr>
          <w:rFonts w:hint="eastAsia"/>
        </w:rPr>
        <w:t>服务要求</w:t>
      </w:r>
    </w:p>
    <w:p>
      <w:pPr>
        <w:pStyle w:val="108"/>
        <w:spacing w:before="120" w:after="120"/>
      </w:pPr>
      <w:r>
        <w:rPr>
          <w:rFonts w:hint="eastAsia"/>
        </w:rPr>
        <w:t>职业道德</w:t>
      </w:r>
    </w:p>
    <w:p>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员工受过良好的职业道德教育，掌握职业道德基本知识。</w:t>
      </w:r>
    </w:p>
    <w:p>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尊重顾客的民族习惯宗教信仰及个人生活习惯。</w:t>
      </w:r>
    </w:p>
    <w:p>
      <w:pPr>
        <w:pStyle w:val="108"/>
        <w:spacing w:before="120" w:after="120"/>
      </w:pPr>
      <w:r>
        <w:rPr>
          <w:rFonts w:hint="eastAsia"/>
        </w:rPr>
        <w:t>仪容仪表</w:t>
      </w:r>
    </w:p>
    <w:p>
      <w:pPr>
        <w:pStyle w:val="168"/>
      </w:pPr>
      <w:r>
        <w:rPr>
          <w:rFonts w:hint="eastAsia"/>
        </w:rPr>
        <w:t>员工根据岗位要求着工作服上岗</w:t>
      </w:r>
      <w:r>
        <w:rPr>
          <w:rFonts w:hint="eastAsia"/>
          <w:color w:val="4472C4" w:themeColor="accent1"/>
          <w14:textFill>
            <w14:solidFill>
              <w14:schemeClr w14:val="accent1"/>
            </w14:solidFill>
          </w14:textFill>
        </w:rPr>
        <w:t>；</w:t>
      </w:r>
      <w:r>
        <w:rPr>
          <w:rFonts w:hint="eastAsia"/>
        </w:rPr>
        <w:t>制服</w:t>
      </w:r>
      <w:r>
        <w:rPr>
          <w:rFonts w:hint="eastAsia"/>
          <w:highlight w:val="none"/>
        </w:rPr>
        <w:t>挺括、干</w:t>
      </w:r>
      <w:r>
        <w:rPr>
          <w:rFonts w:hint="eastAsia"/>
        </w:rPr>
        <w:t>净整洁无破损</w:t>
      </w:r>
      <w:r>
        <w:rPr>
          <w:rFonts w:hint="eastAsia"/>
          <w:color w:val="4472C4" w:themeColor="accent1"/>
          <w14:textFill>
            <w14:solidFill>
              <w14:schemeClr w14:val="accent1"/>
            </w14:solidFill>
          </w14:textFill>
        </w:rPr>
        <w:t>；</w:t>
      </w:r>
      <w:r>
        <w:rPr>
          <w:rFonts w:hint="eastAsia"/>
        </w:rPr>
        <w:t>统一佩戴口罩，位置端正。</w:t>
      </w:r>
    </w:p>
    <w:p>
      <w:pPr>
        <w:pStyle w:val="168"/>
      </w:pPr>
      <w:r>
        <w:rPr>
          <w:rFonts w:hint="eastAsia"/>
        </w:rPr>
        <w:t>男员工头发后不过领、侧不盖耳。女员工发前不遮眼、后不过肩。</w:t>
      </w:r>
    </w:p>
    <w:p>
      <w:pPr>
        <w:pStyle w:val="177"/>
        <w:numPr>
          <w:ilvl w:val="0"/>
          <w:numId w:val="0"/>
        </w:numPr>
        <w:ind w:left="210" w:leftChars="100" w:firstLine="630" w:firstLineChars="300"/>
      </w:pPr>
      <w:r>
        <w:rPr>
          <w:rFonts w:hint="eastAsia"/>
        </w:rPr>
        <w:t>容貌洁净：男员工不留胡须，女员工不化妆。</w:t>
      </w:r>
    </w:p>
    <w:p>
      <w:pPr>
        <w:pStyle w:val="177"/>
        <w:numPr>
          <w:ilvl w:val="0"/>
          <w:numId w:val="0"/>
        </w:numPr>
        <w:ind w:left="851"/>
      </w:pPr>
      <w:r>
        <w:rPr>
          <w:rFonts w:hint="eastAsia"/>
        </w:rPr>
        <w:t>双手干净：不留长指甲，不涂指甲油。员工仪容仪表符合服务岗位要求。</w:t>
      </w:r>
    </w:p>
    <w:p>
      <w:pPr>
        <w:pStyle w:val="108"/>
        <w:spacing w:before="120" w:after="120"/>
      </w:pPr>
      <w:r>
        <w:rPr>
          <w:rFonts w:hint="eastAsia"/>
        </w:rPr>
        <w:t>礼貌礼仪</w:t>
      </w:r>
    </w:p>
    <w:p>
      <w:pPr>
        <w:pStyle w:val="168"/>
      </w:pPr>
      <w:r>
        <w:rPr>
          <w:rFonts w:hint="eastAsia"/>
        </w:rPr>
        <w:t>对待顾客谦虚有礼，朴实大方，表情自然，面带微笑，态度诚恳。</w:t>
      </w:r>
    </w:p>
    <w:p>
      <w:pPr>
        <w:pStyle w:val="168"/>
      </w:pPr>
      <w:r>
        <w:rPr>
          <w:rFonts w:hint="eastAsia"/>
        </w:rPr>
        <w:t>服务态度热情主动，客户至上，耐心周到。</w:t>
      </w:r>
    </w:p>
    <w:p>
      <w:pPr>
        <w:pStyle w:val="107"/>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成品技术要求</w:t>
      </w:r>
    </w:p>
    <w:p>
      <w:pPr>
        <w:pStyle w:val="108"/>
        <w:spacing w:before="120" w:after="120"/>
      </w:pPr>
      <w:r>
        <w:rPr>
          <w:rFonts w:hint="eastAsia"/>
        </w:rPr>
        <w:t>感官</w:t>
      </w:r>
    </w:p>
    <w:p>
      <w:pPr>
        <w:pStyle w:val="59"/>
        <w:ind w:firstLine="420"/>
      </w:pPr>
      <w:r>
        <w:rPr>
          <w:rFonts w:hint="eastAsia"/>
        </w:rPr>
        <w:t>感官要求应符合表</w:t>
      </w:r>
      <w:r>
        <w:t>1</w:t>
      </w:r>
      <w:r>
        <w:rPr>
          <w:rFonts w:hint="eastAsia"/>
        </w:rPr>
        <w:t>的规定。</w:t>
      </w:r>
    </w:p>
    <w:p>
      <w:pPr>
        <w:pStyle w:val="115"/>
        <w:spacing w:before="120" w:after="120"/>
      </w:pPr>
      <w:r>
        <w:t>感官要求</w:t>
      </w:r>
    </w:p>
    <w:tbl>
      <w:tblPr>
        <w:tblStyle w:val="234"/>
        <w:tblW w:w="9468" w:type="dxa"/>
        <w:tblInd w:w="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3"/>
        <w:gridCol w:w="5525"/>
        <w:gridCol w:w="27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3" w:type="dxa"/>
            <w:tcBorders>
              <w:top w:val="single" w:color="000000" w:sz="8" w:space="0"/>
              <w:left w:val="single" w:color="000000" w:sz="8" w:space="0"/>
            </w:tcBorders>
            <w:shd w:val="clear" w:color="auto" w:fill="auto"/>
          </w:tcPr>
          <w:p>
            <w:pPr>
              <w:pStyle w:val="233"/>
              <w:spacing w:before="223" w:line="219" w:lineRule="auto"/>
              <w:ind w:left="331"/>
            </w:pPr>
            <w:r>
              <w:rPr>
                <w:spacing w:val="-4"/>
              </w:rPr>
              <w:t>项目</w:t>
            </w:r>
          </w:p>
        </w:tc>
        <w:tc>
          <w:tcPr>
            <w:tcW w:w="5525" w:type="dxa"/>
            <w:tcBorders>
              <w:top w:val="single" w:color="000000" w:sz="8" w:space="0"/>
            </w:tcBorders>
            <w:shd w:val="clear" w:color="auto" w:fill="auto"/>
          </w:tcPr>
          <w:p>
            <w:pPr>
              <w:pStyle w:val="233"/>
              <w:spacing w:before="223" w:line="219" w:lineRule="auto"/>
              <w:ind w:left="2498"/>
            </w:pPr>
            <w:r>
              <w:rPr>
                <w:spacing w:val="-4"/>
              </w:rPr>
              <w:t>指标</w:t>
            </w:r>
          </w:p>
        </w:tc>
        <w:tc>
          <w:tcPr>
            <w:tcW w:w="2750" w:type="dxa"/>
            <w:tcBorders>
              <w:top w:val="single" w:color="000000" w:sz="8" w:space="0"/>
              <w:right w:val="single" w:color="000000" w:sz="8" w:space="0"/>
            </w:tcBorders>
            <w:shd w:val="clear" w:color="auto" w:fill="auto"/>
          </w:tcPr>
          <w:p>
            <w:pPr>
              <w:pStyle w:val="233"/>
              <w:spacing w:before="222" w:line="219" w:lineRule="auto"/>
              <w:ind w:left="1019"/>
            </w:pPr>
            <w:r>
              <w:rPr>
                <w:spacing w:val="-2"/>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3" w:type="dxa"/>
            <w:tcBorders>
              <w:left w:val="single" w:color="000000" w:sz="8" w:space="0"/>
            </w:tcBorders>
            <w:shd w:val="clear" w:color="auto" w:fill="auto"/>
          </w:tcPr>
          <w:p>
            <w:pPr>
              <w:pStyle w:val="233"/>
              <w:spacing w:before="220" w:line="221" w:lineRule="auto"/>
              <w:jc w:val="center"/>
            </w:pPr>
            <w:r>
              <w:rPr>
                <w:spacing w:val="-2"/>
              </w:rPr>
              <w:t>组织形态</w:t>
            </w:r>
          </w:p>
        </w:tc>
        <w:tc>
          <w:tcPr>
            <w:tcW w:w="5525" w:type="dxa"/>
            <w:shd w:val="clear" w:color="auto" w:fill="auto"/>
          </w:tcPr>
          <w:p>
            <w:pPr>
              <w:pStyle w:val="233"/>
              <w:spacing w:before="221" w:line="219" w:lineRule="auto"/>
              <w:ind w:left="113"/>
              <w:jc w:val="center"/>
              <w:rPr>
                <w:lang w:eastAsia="zh-CN"/>
              </w:rPr>
            </w:pPr>
            <w:r>
              <w:rPr>
                <w:spacing w:val="-4"/>
                <w:lang w:eastAsia="zh-CN"/>
              </w:rPr>
              <w:t>具有该品种应有的形态。</w:t>
            </w:r>
          </w:p>
        </w:tc>
        <w:tc>
          <w:tcPr>
            <w:tcW w:w="2750" w:type="dxa"/>
            <w:vMerge w:val="restart"/>
            <w:tcBorders>
              <w:bottom w:val="nil"/>
              <w:right w:val="single" w:color="000000" w:sz="8" w:space="0"/>
            </w:tcBorders>
            <w:shd w:val="clear" w:color="auto" w:fill="auto"/>
            <w:vAlign w:val="center"/>
          </w:tcPr>
          <w:p>
            <w:pPr>
              <w:jc w:val="center"/>
            </w:pPr>
            <w:r>
              <w:rPr>
                <w:rFonts w:hint="eastAsia" w:ascii="宋体" w:hAnsi="宋体"/>
                <w:color w:val="000000" w:themeColor="text1"/>
                <w14:textFill>
                  <w14:solidFill>
                    <w14:schemeClr w14:val="tx1"/>
                  </w14:solidFill>
                </w14:textFill>
              </w:rPr>
              <w:t>目测、鼻嗅、口尝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3" w:type="dxa"/>
            <w:tcBorders>
              <w:left w:val="single" w:color="000000" w:sz="8" w:space="0"/>
            </w:tcBorders>
            <w:shd w:val="clear" w:color="auto" w:fill="auto"/>
          </w:tcPr>
          <w:p>
            <w:pPr>
              <w:pStyle w:val="233"/>
              <w:spacing w:before="222" w:line="219" w:lineRule="auto"/>
              <w:jc w:val="center"/>
            </w:pPr>
            <w:r>
              <w:rPr>
                <w:spacing w:val="-4"/>
              </w:rPr>
              <w:t>色泽</w:t>
            </w:r>
          </w:p>
        </w:tc>
        <w:tc>
          <w:tcPr>
            <w:tcW w:w="5525" w:type="dxa"/>
            <w:shd w:val="clear" w:color="auto" w:fill="auto"/>
          </w:tcPr>
          <w:p>
            <w:pPr>
              <w:pStyle w:val="233"/>
              <w:spacing w:before="222" w:line="219" w:lineRule="auto"/>
              <w:ind w:left="113"/>
              <w:jc w:val="center"/>
              <w:rPr>
                <w:lang w:eastAsia="zh-CN"/>
              </w:rPr>
            </w:pPr>
            <w:r>
              <w:rPr>
                <w:spacing w:val="-4"/>
                <w:lang w:eastAsia="zh-CN"/>
              </w:rPr>
              <w:t>具有该品种应有的色泽。</w:t>
            </w:r>
          </w:p>
        </w:tc>
        <w:tc>
          <w:tcPr>
            <w:tcW w:w="2750" w:type="dxa"/>
            <w:vMerge w:val="continue"/>
            <w:tcBorders>
              <w:top w:val="nil"/>
              <w:bottom w:val="nil"/>
              <w:right w:val="single" w:color="000000" w:sz="8" w:space="0"/>
            </w:tcBorders>
            <w:shd w:val="clear" w:color="auto" w:fill="auto"/>
          </w:tcPr>
          <w:p>
            <w:pPr>
              <w:jc w:val="center"/>
              <w:rPr>
                <w:rFonts w:ascii="宋体" w:hAns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3" w:type="dxa"/>
            <w:tcBorders>
              <w:left w:val="single" w:color="000000" w:sz="8" w:space="0"/>
            </w:tcBorders>
            <w:shd w:val="clear" w:color="auto" w:fill="auto"/>
          </w:tcPr>
          <w:p>
            <w:pPr>
              <w:pStyle w:val="233"/>
              <w:spacing w:before="222" w:line="219" w:lineRule="auto"/>
              <w:jc w:val="center"/>
            </w:pPr>
            <w:r>
              <w:rPr>
                <w:spacing w:val="-1"/>
              </w:rPr>
              <w:t>滋味、气味</w:t>
            </w:r>
          </w:p>
        </w:tc>
        <w:tc>
          <w:tcPr>
            <w:tcW w:w="5525" w:type="dxa"/>
            <w:shd w:val="clear" w:color="auto" w:fill="auto"/>
          </w:tcPr>
          <w:p>
            <w:pPr>
              <w:pStyle w:val="233"/>
              <w:spacing w:before="222" w:line="219" w:lineRule="auto"/>
              <w:ind w:left="113"/>
              <w:jc w:val="center"/>
              <w:rPr>
                <w:lang w:eastAsia="zh-CN"/>
              </w:rPr>
            </w:pPr>
            <w:r>
              <w:rPr>
                <w:spacing w:val="-6"/>
                <w:lang w:eastAsia="zh-CN"/>
              </w:rPr>
              <w:t>具有该品种应有的滋味和气味，无馊味，无酸臭</w:t>
            </w:r>
            <w:r>
              <w:rPr>
                <w:rFonts w:hint="eastAsia"/>
                <w:spacing w:val="-6"/>
                <w:lang w:eastAsia="zh-CN"/>
              </w:rPr>
              <w:t>味、</w:t>
            </w:r>
            <w:r>
              <w:rPr>
                <w:spacing w:val="-6"/>
                <w:lang w:eastAsia="zh-CN"/>
              </w:rPr>
              <w:t>哈喇味等异</w:t>
            </w:r>
            <w:r>
              <w:rPr>
                <w:spacing w:val="-7"/>
                <w:lang w:eastAsia="zh-CN"/>
              </w:rPr>
              <w:t>味。</w:t>
            </w:r>
          </w:p>
        </w:tc>
        <w:tc>
          <w:tcPr>
            <w:tcW w:w="2750" w:type="dxa"/>
            <w:vMerge w:val="continue"/>
            <w:tcBorders>
              <w:top w:val="nil"/>
              <w:bottom w:val="nil"/>
              <w:right w:val="single" w:color="000000" w:sz="8" w:space="0"/>
            </w:tcBorders>
            <w:shd w:val="clear" w:color="auto" w:fill="auto"/>
          </w:tcPr>
          <w:p>
            <w:pPr>
              <w:jc w:val="center"/>
              <w:rPr>
                <w:rFonts w:ascii="宋体" w:hAns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3" w:type="dxa"/>
            <w:tcBorders>
              <w:left w:val="single" w:color="000000" w:sz="8" w:space="0"/>
              <w:bottom w:val="single" w:color="000000" w:sz="8" w:space="0"/>
            </w:tcBorders>
            <w:shd w:val="clear" w:color="auto" w:fill="auto"/>
          </w:tcPr>
          <w:p>
            <w:pPr>
              <w:pStyle w:val="233"/>
              <w:spacing w:before="222" w:line="219" w:lineRule="auto"/>
              <w:jc w:val="center"/>
            </w:pPr>
            <w:r>
              <w:rPr>
                <w:spacing w:val="-5"/>
              </w:rPr>
              <w:t>杂质</w:t>
            </w:r>
          </w:p>
        </w:tc>
        <w:tc>
          <w:tcPr>
            <w:tcW w:w="5525" w:type="dxa"/>
            <w:tcBorders>
              <w:bottom w:val="single" w:color="000000" w:sz="8" w:space="0"/>
            </w:tcBorders>
            <w:shd w:val="clear" w:color="auto" w:fill="auto"/>
          </w:tcPr>
          <w:p>
            <w:pPr>
              <w:pStyle w:val="233"/>
              <w:spacing w:before="222" w:line="219" w:lineRule="auto"/>
              <w:ind w:left="111"/>
              <w:jc w:val="center"/>
              <w:rPr>
                <w:lang w:eastAsia="zh-CN"/>
              </w:rPr>
            </w:pPr>
            <w:r>
              <w:rPr>
                <w:spacing w:val="-3"/>
                <w:lang w:eastAsia="zh-CN"/>
              </w:rPr>
              <w:t>外表及内部均无肉眼可见杂质。</w:t>
            </w:r>
          </w:p>
        </w:tc>
        <w:tc>
          <w:tcPr>
            <w:tcW w:w="2750" w:type="dxa"/>
            <w:vMerge w:val="continue"/>
            <w:tcBorders>
              <w:top w:val="nil"/>
              <w:bottom w:val="single" w:color="000000" w:sz="8" w:space="0"/>
              <w:right w:val="single" w:color="000000" w:sz="8" w:space="0"/>
            </w:tcBorders>
            <w:shd w:val="clear" w:color="auto" w:fill="auto"/>
          </w:tcPr>
          <w:p>
            <w:pPr>
              <w:rPr>
                <w:rFonts w:ascii="宋体" w:hAnsi="宋体"/>
              </w:rPr>
            </w:pPr>
          </w:p>
        </w:tc>
      </w:tr>
    </w:tbl>
    <w:p>
      <w:pPr>
        <w:pStyle w:val="59"/>
        <w:ind w:firstLine="420"/>
      </w:pPr>
    </w:p>
    <w:p>
      <w:pPr>
        <w:pStyle w:val="59"/>
        <w:ind w:firstLine="420"/>
      </w:pPr>
    </w:p>
    <w:p>
      <w:pPr>
        <w:pStyle w:val="108"/>
        <w:spacing w:before="120" w:after="120"/>
      </w:pPr>
      <w:r>
        <w:rPr>
          <w:rFonts w:hint="eastAsia"/>
        </w:rPr>
        <w:t>中心温度</w:t>
      </w:r>
    </w:p>
    <w:p>
      <w:pPr>
        <w:pStyle w:val="59"/>
        <w:ind w:firstLine="420"/>
      </w:pPr>
      <w:r>
        <w:rPr>
          <w:rFonts w:hint="eastAsia"/>
        </w:rPr>
        <w:t>膳食中心温度应符合表</w:t>
      </w:r>
      <w:r>
        <w:t>2</w:t>
      </w:r>
      <w:r>
        <w:rPr>
          <w:rFonts w:hint="eastAsia"/>
        </w:rPr>
        <w:t>的规定。</w:t>
      </w:r>
    </w:p>
    <w:p>
      <w:pPr>
        <w:pStyle w:val="115"/>
        <w:spacing w:before="120" w:after="120"/>
      </w:pPr>
      <w:r>
        <w:t>膳食中心温度</w:t>
      </w:r>
    </w:p>
    <w:tbl>
      <w:tblPr>
        <w:tblStyle w:val="234"/>
        <w:tblW w:w="9576" w:type="dxa"/>
        <w:tblInd w:w="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194"/>
        <w:gridCol w:w="3185"/>
        <w:gridCol w:w="31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0" w:hRule="atLeast"/>
        </w:trPr>
        <w:tc>
          <w:tcPr>
            <w:tcW w:w="3194" w:type="dxa"/>
            <w:shd w:val="clear" w:color="auto" w:fill="auto"/>
          </w:tcPr>
          <w:p>
            <w:pPr>
              <w:pStyle w:val="233"/>
              <w:spacing w:before="68" w:line="220" w:lineRule="auto"/>
              <w:ind w:left="1415"/>
            </w:pPr>
            <w:r>
              <w:rPr>
                <w:spacing w:val="-2"/>
              </w:rPr>
              <w:t>项目</w:t>
            </w:r>
          </w:p>
        </w:tc>
        <w:tc>
          <w:tcPr>
            <w:tcW w:w="3185" w:type="dxa"/>
            <w:shd w:val="clear" w:color="auto" w:fill="auto"/>
          </w:tcPr>
          <w:p>
            <w:pPr>
              <w:pStyle w:val="233"/>
              <w:spacing w:before="68" w:line="220" w:lineRule="auto"/>
              <w:ind w:left="1417"/>
            </w:pPr>
            <w:r>
              <w:rPr>
                <w:spacing w:val="-2"/>
              </w:rPr>
              <w:t>指标</w:t>
            </w:r>
          </w:p>
        </w:tc>
        <w:tc>
          <w:tcPr>
            <w:tcW w:w="3197" w:type="dxa"/>
            <w:shd w:val="clear" w:color="auto" w:fill="auto"/>
          </w:tcPr>
          <w:p>
            <w:pPr>
              <w:pStyle w:val="233"/>
              <w:spacing w:before="67" w:line="220" w:lineRule="auto"/>
              <w:ind w:left="1241"/>
            </w:pPr>
            <w:r>
              <w:rPr>
                <w:spacing w:val="-2"/>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9" w:hRule="atLeast"/>
        </w:trPr>
        <w:tc>
          <w:tcPr>
            <w:tcW w:w="3194" w:type="dxa"/>
            <w:shd w:val="clear" w:color="auto" w:fill="auto"/>
          </w:tcPr>
          <w:p>
            <w:pPr>
              <w:pStyle w:val="233"/>
              <w:spacing w:before="66" w:line="223" w:lineRule="auto"/>
              <w:ind w:left="109"/>
            </w:pPr>
            <w:r>
              <w:rPr>
                <w:spacing w:val="-2"/>
              </w:rPr>
              <w:t>冷链工艺，℃</w:t>
            </w:r>
            <w:r>
              <w:rPr>
                <w:spacing w:val="1"/>
              </w:rPr>
              <w:t xml:space="preserve">                   </w:t>
            </w:r>
            <w:r>
              <w:rPr>
                <w:spacing w:val="-2"/>
              </w:rPr>
              <w:t>≤</w:t>
            </w:r>
          </w:p>
        </w:tc>
        <w:tc>
          <w:tcPr>
            <w:tcW w:w="3185" w:type="dxa"/>
            <w:shd w:val="clear" w:color="auto" w:fill="auto"/>
          </w:tcPr>
          <w:p>
            <w:pPr>
              <w:pStyle w:val="233"/>
              <w:spacing w:before="96" w:line="182" w:lineRule="auto"/>
              <w:ind w:left="1520"/>
            </w:pPr>
            <w:r>
              <w:rPr>
                <w:spacing w:val="-5"/>
              </w:rPr>
              <w:t>10</w:t>
            </w:r>
          </w:p>
        </w:tc>
        <w:tc>
          <w:tcPr>
            <w:tcW w:w="3197" w:type="dxa"/>
            <w:vMerge w:val="restart"/>
            <w:shd w:val="clear" w:color="auto" w:fill="auto"/>
          </w:tcPr>
          <w:p>
            <w:pPr>
              <w:pStyle w:val="233"/>
              <w:spacing w:before="70" w:line="270" w:lineRule="auto"/>
              <w:ind w:left="972" w:right="104" w:hanging="846"/>
              <w:rPr>
                <w:lang w:eastAsia="zh-CN"/>
              </w:rPr>
            </w:pPr>
            <w:r>
              <w:rPr>
                <w:spacing w:val="-7"/>
                <w:lang w:eastAsia="zh-CN"/>
              </w:rPr>
              <w:t>随机抽取</w:t>
            </w:r>
            <w:r>
              <w:rPr>
                <w:spacing w:val="-24"/>
                <w:lang w:eastAsia="zh-CN"/>
              </w:rPr>
              <w:t xml:space="preserve"> </w:t>
            </w:r>
            <w:r>
              <w:rPr>
                <w:rFonts w:cs="Times New Roman"/>
                <w:spacing w:val="-7"/>
                <w:lang w:eastAsia="zh-CN"/>
              </w:rPr>
              <w:t xml:space="preserve">3 </w:t>
            </w:r>
            <w:r>
              <w:rPr>
                <w:spacing w:val="-7"/>
                <w:lang w:eastAsia="zh-CN"/>
              </w:rPr>
              <w:t>件，采用食品中心温度计测</w:t>
            </w:r>
            <w:r>
              <w:rPr>
                <w:spacing w:val="-4"/>
                <w:lang w:eastAsia="zh-CN"/>
              </w:rPr>
              <w:t>量，取平均值。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3194" w:type="dxa"/>
            <w:shd w:val="clear" w:color="auto" w:fill="auto"/>
          </w:tcPr>
          <w:p>
            <w:pPr>
              <w:pStyle w:val="233"/>
              <w:spacing w:before="74" w:line="223" w:lineRule="auto"/>
              <w:ind w:left="110"/>
            </w:pPr>
            <w:r>
              <w:rPr>
                <w:spacing w:val="-2"/>
              </w:rPr>
              <w:t>热链工艺，℃</w:t>
            </w:r>
            <w:r>
              <w:rPr>
                <w:spacing w:val="1"/>
              </w:rPr>
              <w:t xml:space="preserve">                   </w:t>
            </w:r>
            <w:r>
              <w:rPr>
                <w:spacing w:val="-2"/>
              </w:rPr>
              <w:t>≥</w:t>
            </w:r>
          </w:p>
        </w:tc>
        <w:tc>
          <w:tcPr>
            <w:tcW w:w="3185" w:type="dxa"/>
            <w:shd w:val="clear" w:color="auto" w:fill="auto"/>
          </w:tcPr>
          <w:p>
            <w:pPr>
              <w:pStyle w:val="233"/>
              <w:spacing w:before="104" w:line="181" w:lineRule="auto"/>
              <w:ind w:left="1508"/>
            </w:pPr>
            <w:r>
              <w:rPr>
                <w:spacing w:val="-2"/>
              </w:rPr>
              <w:t>60</w:t>
            </w:r>
          </w:p>
        </w:tc>
        <w:tc>
          <w:tcPr>
            <w:tcW w:w="3197" w:type="dxa"/>
            <w:vMerge w:val="continue"/>
            <w:shd w:val="clear" w:color="auto" w:fill="auto"/>
          </w:tcPr>
          <w:p>
            <w:pP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5" w:hRule="atLeast"/>
        </w:trPr>
        <w:tc>
          <w:tcPr>
            <w:tcW w:w="9576" w:type="dxa"/>
            <w:gridSpan w:val="3"/>
            <w:shd w:val="clear" w:color="auto" w:fill="auto"/>
          </w:tcPr>
          <w:p>
            <w:pPr>
              <w:pStyle w:val="182"/>
            </w:pPr>
            <w:r>
              <w:rPr>
                <w:rFonts w:hint="eastAsia"/>
              </w:rPr>
              <w:t>仅适用于集体用餐配送膳食（盒饭）运输贮存过程中的膳食。</w:t>
            </w:r>
          </w:p>
        </w:tc>
      </w:tr>
    </w:tbl>
    <w:p>
      <w:pPr>
        <w:pStyle w:val="108"/>
        <w:spacing w:before="120" w:after="120"/>
      </w:pPr>
      <w:r>
        <w:t>微生物限量</w:t>
      </w:r>
    </w:p>
    <w:p>
      <w:pPr>
        <w:pStyle w:val="59"/>
        <w:ind w:firstLine="420"/>
      </w:pPr>
      <w:r>
        <w:t>微生物限量应符合表3的规定。</w:t>
      </w:r>
    </w:p>
    <w:p>
      <w:pPr>
        <w:pStyle w:val="115"/>
        <w:spacing w:before="120" w:after="120"/>
      </w:pPr>
      <w:r>
        <w:rPr>
          <w:rFonts w:hint="eastAsia"/>
        </w:rPr>
        <w:t>微生物限量</w:t>
      </w:r>
    </w:p>
    <w:tbl>
      <w:tblPr>
        <w:tblStyle w:val="234"/>
        <w:tblW w:w="935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9"/>
        <w:gridCol w:w="3432"/>
        <w:gridCol w:w="1580"/>
        <w:gridCol w:w="27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1569" w:type="dxa"/>
            <w:tcBorders>
              <w:top w:val="single" w:color="000000" w:sz="6" w:space="0"/>
              <w:left w:val="single" w:color="000000" w:sz="6" w:space="0"/>
              <w:bottom w:val="single" w:color="000000" w:sz="6" w:space="0"/>
            </w:tcBorders>
          </w:tcPr>
          <w:p>
            <w:pPr>
              <w:pStyle w:val="233"/>
              <w:spacing w:before="53" w:line="220" w:lineRule="auto"/>
              <w:ind w:left="111"/>
              <w:jc w:val="center"/>
              <w:rPr>
                <w:spacing w:val="-2"/>
              </w:rPr>
            </w:pPr>
            <w:r>
              <w:rPr>
                <w:rFonts w:hint="eastAsia"/>
                <w:spacing w:val="-2"/>
              </w:rPr>
              <w:t>集体用餐</w:t>
            </w:r>
          </w:p>
          <w:p>
            <w:pPr>
              <w:pStyle w:val="233"/>
              <w:spacing w:before="53" w:line="220" w:lineRule="auto"/>
              <w:ind w:left="111"/>
              <w:jc w:val="center"/>
              <w:rPr>
                <w:spacing w:val="-2"/>
              </w:rPr>
            </w:pPr>
            <w:r>
              <w:rPr>
                <w:rFonts w:hint="eastAsia"/>
                <w:spacing w:val="-2"/>
                <w:lang w:eastAsia="zh-CN"/>
              </w:rPr>
              <w:t>及配送</w:t>
            </w:r>
            <w:r>
              <w:rPr>
                <w:rFonts w:hint="eastAsia"/>
                <w:spacing w:val="-2"/>
              </w:rPr>
              <w:t>膳食</w:t>
            </w:r>
          </w:p>
        </w:tc>
        <w:tc>
          <w:tcPr>
            <w:tcW w:w="3432" w:type="dxa"/>
            <w:tcBorders>
              <w:top w:val="single" w:color="000000" w:sz="6" w:space="0"/>
              <w:left w:val="single" w:color="000000" w:sz="6" w:space="0"/>
              <w:bottom w:val="single" w:color="000000" w:sz="6" w:space="0"/>
            </w:tcBorders>
            <w:vAlign w:val="center"/>
          </w:tcPr>
          <w:p>
            <w:pPr>
              <w:pStyle w:val="233"/>
              <w:spacing w:before="53" w:line="220" w:lineRule="auto"/>
              <w:ind w:left="111"/>
              <w:jc w:val="center"/>
              <w:rPr>
                <w:spacing w:val="-2"/>
              </w:rPr>
            </w:pPr>
            <w:r>
              <w:rPr>
                <w:rFonts w:hint="eastAsia"/>
                <w:spacing w:val="-2"/>
              </w:rPr>
              <w:t>项目</w:t>
            </w:r>
          </w:p>
        </w:tc>
        <w:tc>
          <w:tcPr>
            <w:tcW w:w="1580" w:type="dxa"/>
            <w:tcBorders>
              <w:top w:val="single" w:color="000000" w:sz="6" w:space="0"/>
              <w:bottom w:val="single" w:color="000000" w:sz="6" w:space="0"/>
            </w:tcBorders>
            <w:vAlign w:val="center"/>
          </w:tcPr>
          <w:p>
            <w:pPr>
              <w:pStyle w:val="233"/>
              <w:spacing w:before="53" w:line="220" w:lineRule="auto"/>
              <w:ind w:left="111"/>
              <w:jc w:val="center"/>
              <w:rPr>
                <w:spacing w:val="-2"/>
              </w:rPr>
            </w:pPr>
            <w:r>
              <w:rPr>
                <w:rFonts w:hint="eastAsia"/>
                <w:spacing w:val="-2"/>
              </w:rPr>
              <w:t>限量</w:t>
            </w:r>
          </w:p>
        </w:tc>
        <w:tc>
          <w:tcPr>
            <w:tcW w:w="2770" w:type="dxa"/>
            <w:tcBorders>
              <w:top w:val="single" w:color="000000" w:sz="6" w:space="0"/>
              <w:bottom w:val="single" w:color="000000" w:sz="6" w:space="0"/>
              <w:right w:val="single" w:color="000000" w:sz="6" w:space="0"/>
            </w:tcBorders>
            <w:vAlign w:val="center"/>
          </w:tcPr>
          <w:p>
            <w:pPr>
              <w:pStyle w:val="233"/>
              <w:spacing w:before="53" w:line="220" w:lineRule="auto"/>
              <w:ind w:left="111"/>
              <w:jc w:val="center"/>
              <w:rPr>
                <w:spacing w:val="-2"/>
              </w:rPr>
            </w:pPr>
            <w:r>
              <w:rPr>
                <w:rFonts w:hint="eastAsia"/>
                <w:spacing w:val="-2"/>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1569" w:type="dxa"/>
            <w:vMerge w:val="restart"/>
            <w:tcBorders>
              <w:top w:val="single" w:color="000000" w:sz="6" w:space="0"/>
              <w:left w:val="single" w:color="000000" w:sz="6" w:space="0"/>
            </w:tcBorders>
            <w:vAlign w:val="center"/>
          </w:tcPr>
          <w:p>
            <w:pPr>
              <w:pStyle w:val="233"/>
              <w:spacing w:before="53" w:line="220" w:lineRule="auto"/>
              <w:ind w:left="111"/>
              <w:jc w:val="center"/>
              <w:rPr>
                <w:spacing w:val="-2"/>
                <w:lang w:eastAsia="zh-CN"/>
              </w:rPr>
            </w:pPr>
            <w:r>
              <w:rPr>
                <w:rFonts w:hint="eastAsia"/>
                <w:snapToGrid w:val="0"/>
                <w:color w:val="000000"/>
                <w:kern w:val="0"/>
                <w:lang w:val="en-US" w:eastAsia="zh-CN" w:bidi="ar"/>
              </w:rPr>
              <w:t>主食、</w:t>
            </w:r>
            <w:r>
              <w:rPr>
                <w:rFonts w:hint="eastAsia"/>
                <w:snapToGrid w:val="0"/>
                <w:color w:val="000000"/>
                <w:kern w:val="0"/>
                <w:lang w:eastAsia="zh-CN" w:bidi="ar"/>
              </w:rPr>
              <w:t>热菜</w:t>
            </w:r>
          </w:p>
        </w:tc>
        <w:tc>
          <w:tcPr>
            <w:tcW w:w="3432" w:type="dxa"/>
            <w:tcBorders>
              <w:top w:val="single" w:color="000000" w:sz="6" w:space="0"/>
              <w:left w:val="single" w:color="000000" w:sz="6" w:space="0"/>
            </w:tcBorders>
          </w:tcPr>
          <w:p>
            <w:pPr>
              <w:pStyle w:val="233"/>
              <w:spacing w:before="53" w:line="220" w:lineRule="auto"/>
              <w:ind w:left="111"/>
            </w:pPr>
            <w:r>
              <w:rPr>
                <w:rFonts w:hint="eastAsia"/>
                <w:spacing w:val="-2"/>
              </w:rPr>
              <w:t>大肠菌群</w:t>
            </w:r>
            <w:r>
              <w:rPr>
                <w:rFonts w:hint="eastAsia"/>
                <w:spacing w:val="-2"/>
                <w:position w:val="7"/>
              </w:rPr>
              <w:t>a</w:t>
            </w:r>
            <w:r>
              <w:rPr>
                <w:rFonts w:hint="eastAsia"/>
                <w:spacing w:val="-2"/>
              </w:rPr>
              <w:t>，MPN/100g           ≤</w:t>
            </w:r>
          </w:p>
        </w:tc>
        <w:tc>
          <w:tcPr>
            <w:tcW w:w="1580" w:type="dxa"/>
            <w:tcBorders>
              <w:top w:val="single" w:color="000000" w:sz="6" w:space="0"/>
            </w:tcBorders>
          </w:tcPr>
          <w:p>
            <w:pPr>
              <w:spacing w:before="94" w:line="186" w:lineRule="auto"/>
              <w:jc w:val="center"/>
              <w:rPr>
                <w:rFonts w:ascii="宋体" w:hAnsi="宋体" w:cs="宋体"/>
                <w:sz w:val="18"/>
                <w:szCs w:val="18"/>
              </w:rPr>
            </w:pPr>
            <w:r>
              <w:rPr>
                <w:rFonts w:hint="eastAsia" w:ascii="宋体" w:hAnsi="宋体" w:cs="宋体"/>
                <w:spacing w:val="-3"/>
                <w:sz w:val="18"/>
                <w:szCs w:val="18"/>
              </w:rPr>
              <w:t>90</w:t>
            </w:r>
          </w:p>
        </w:tc>
        <w:tc>
          <w:tcPr>
            <w:tcW w:w="2770" w:type="dxa"/>
            <w:tcBorders>
              <w:top w:val="single" w:color="000000" w:sz="6" w:space="0"/>
              <w:right w:val="single" w:color="000000" w:sz="6" w:space="0"/>
            </w:tcBorders>
          </w:tcPr>
          <w:p>
            <w:pPr>
              <w:spacing w:before="91" w:line="190" w:lineRule="auto"/>
              <w:jc w:val="center"/>
              <w:rPr>
                <w:rFonts w:ascii="宋体" w:hAnsi="宋体" w:cs="宋体"/>
                <w:sz w:val="18"/>
                <w:szCs w:val="18"/>
              </w:rPr>
            </w:pPr>
            <w:r>
              <w:rPr>
                <w:rFonts w:hint="eastAsia" w:ascii="宋体" w:hAnsi="宋体" w:cs="宋体"/>
                <w:spacing w:val="-1"/>
                <w:sz w:val="18"/>
                <w:szCs w:val="18"/>
              </w:rPr>
              <w:t>GB/T 4789.3-2003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jc w:val="center"/>
        </w:trPr>
        <w:tc>
          <w:tcPr>
            <w:tcW w:w="1569" w:type="dxa"/>
            <w:vMerge w:val="continue"/>
            <w:tcBorders>
              <w:left w:val="single" w:color="000000" w:sz="6" w:space="0"/>
            </w:tcBorders>
            <w:vAlign w:val="center"/>
          </w:tcPr>
          <w:p>
            <w:pPr>
              <w:pStyle w:val="233"/>
              <w:spacing w:before="58" w:line="220" w:lineRule="auto"/>
              <w:ind w:left="111"/>
              <w:jc w:val="center"/>
              <w:rPr>
                <w:spacing w:val="-3"/>
              </w:rPr>
            </w:pPr>
          </w:p>
        </w:tc>
        <w:tc>
          <w:tcPr>
            <w:tcW w:w="3432" w:type="dxa"/>
            <w:tcBorders>
              <w:left w:val="single" w:color="000000" w:sz="6" w:space="0"/>
            </w:tcBorders>
          </w:tcPr>
          <w:p>
            <w:pPr>
              <w:pStyle w:val="233"/>
              <w:spacing w:before="58" w:line="220" w:lineRule="auto"/>
              <w:ind w:left="111"/>
            </w:pPr>
            <w:r>
              <w:rPr>
                <w:rFonts w:hint="eastAsia"/>
                <w:spacing w:val="-3"/>
              </w:rPr>
              <w:t>沙门氏菌</w:t>
            </w:r>
            <w:r>
              <w:rPr>
                <w:rFonts w:hint="eastAsia"/>
                <w:spacing w:val="-3"/>
                <w:position w:val="7"/>
                <w:lang w:eastAsia="zh-CN"/>
              </w:rPr>
              <w:t>a</w:t>
            </w:r>
            <w:r>
              <w:rPr>
                <w:rFonts w:hint="eastAsia"/>
                <w:spacing w:val="-3"/>
              </w:rPr>
              <w:t>，/25g</w:t>
            </w:r>
          </w:p>
        </w:tc>
        <w:tc>
          <w:tcPr>
            <w:tcW w:w="1580" w:type="dxa"/>
          </w:tcPr>
          <w:p>
            <w:pPr>
              <w:pStyle w:val="233"/>
              <w:spacing w:before="66" w:line="220" w:lineRule="auto"/>
              <w:jc w:val="center"/>
            </w:pPr>
            <w:r>
              <w:rPr>
                <w:rFonts w:hint="eastAsia"/>
                <w:spacing w:val="-2"/>
              </w:rPr>
              <w:t>不得检出</w:t>
            </w:r>
          </w:p>
        </w:tc>
        <w:tc>
          <w:tcPr>
            <w:tcW w:w="2770" w:type="dxa"/>
            <w:tcBorders>
              <w:right w:val="single" w:color="000000" w:sz="6" w:space="0"/>
            </w:tcBorders>
          </w:tcPr>
          <w:p>
            <w:pPr>
              <w:spacing w:before="99" w:line="186" w:lineRule="auto"/>
              <w:jc w:val="center"/>
              <w:rPr>
                <w:rFonts w:ascii="宋体" w:hAnsi="宋体" w:cs="宋体"/>
                <w:sz w:val="18"/>
                <w:szCs w:val="18"/>
              </w:rPr>
            </w:pPr>
            <w:r>
              <w:rPr>
                <w:rFonts w:hint="eastAsia" w:ascii="宋体" w:hAnsi="宋体" w:cs="宋体"/>
                <w:spacing w:val="-1"/>
                <w:sz w:val="18"/>
                <w:szCs w:val="18"/>
              </w:rPr>
              <w:t>GB 4789.4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1569" w:type="dxa"/>
            <w:vMerge w:val="continue"/>
            <w:tcBorders>
              <w:left w:val="single" w:color="000000" w:sz="6" w:space="0"/>
            </w:tcBorders>
            <w:vAlign w:val="center"/>
          </w:tcPr>
          <w:p>
            <w:pPr>
              <w:pStyle w:val="233"/>
              <w:spacing w:before="60" w:line="220" w:lineRule="auto"/>
              <w:ind w:left="111"/>
              <w:jc w:val="center"/>
              <w:rPr>
                <w:spacing w:val="-2"/>
              </w:rPr>
            </w:pPr>
          </w:p>
        </w:tc>
        <w:tc>
          <w:tcPr>
            <w:tcW w:w="3432" w:type="dxa"/>
            <w:tcBorders>
              <w:left w:val="single" w:color="000000" w:sz="6" w:space="0"/>
            </w:tcBorders>
          </w:tcPr>
          <w:p>
            <w:pPr>
              <w:pStyle w:val="233"/>
              <w:spacing w:before="60" w:line="220" w:lineRule="auto"/>
              <w:ind w:left="111"/>
              <w:rPr>
                <w:lang w:eastAsia="zh-CN"/>
              </w:rPr>
            </w:pPr>
            <w:r>
              <w:rPr>
                <w:rFonts w:hint="eastAsia"/>
                <w:spacing w:val="-2"/>
                <w:lang w:eastAsia="zh-CN"/>
              </w:rPr>
              <w:t>金黄色葡萄球菌</w:t>
            </w:r>
            <w:r>
              <w:rPr>
                <w:rFonts w:hint="eastAsia"/>
                <w:spacing w:val="-2"/>
                <w:position w:val="7"/>
                <w:lang w:eastAsia="zh-CN"/>
              </w:rPr>
              <w:t>a</w:t>
            </w:r>
            <w:r>
              <w:rPr>
                <w:rFonts w:hint="eastAsia"/>
                <w:spacing w:val="-2"/>
                <w:lang w:eastAsia="zh-CN"/>
              </w:rPr>
              <w:t>，/25g</w:t>
            </w:r>
          </w:p>
        </w:tc>
        <w:tc>
          <w:tcPr>
            <w:tcW w:w="1580" w:type="dxa"/>
          </w:tcPr>
          <w:p>
            <w:pPr>
              <w:pStyle w:val="233"/>
              <w:spacing w:before="67" w:line="220" w:lineRule="auto"/>
              <w:jc w:val="center"/>
            </w:pPr>
            <w:r>
              <w:rPr>
                <w:rFonts w:hint="eastAsia"/>
                <w:spacing w:val="-2"/>
              </w:rPr>
              <w:t>不得检出</w:t>
            </w:r>
          </w:p>
        </w:tc>
        <w:tc>
          <w:tcPr>
            <w:tcW w:w="2770" w:type="dxa"/>
            <w:tcBorders>
              <w:right w:val="single" w:color="000000" w:sz="6" w:space="0"/>
            </w:tcBorders>
          </w:tcPr>
          <w:p>
            <w:pPr>
              <w:spacing w:before="101" w:line="186" w:lineRule="auto"/>
              <w:jc w:val="center"/>
              <w:rPr>
                <w:rFonts w:ascii="宋体" w:hAnsi="宋体" w:cs="宋体"/>
                <w:sz w:val="18"/>
                <w:szCs w:val="18"/>
              </w:rPr>
            </w:pPr>
            <w:r>
              <w:rPr>
                <w:rFonts w:hint="eastAsia" w:ascii="宋体" w:hAnsi="宋体" w:cs="宋体"/>
                <w:spacing w:val="-1"/>
                <w:sz w:val="18"/>
                <w:szCs w:val="18"/>
              </w:rPr>
              <w:t>GB 4789.10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1569" w:type="dxa"/>
            <w:vMerge w:val="continue"/>
            <w:tcBorders>
              <w:left w:val="single" w:color="000000" w:sz="6" w:space="0"/>
            </w:tcBorders>
            <w:vAlign w:val="center"/>
          </w:tcPr>
          <w:p>
            <w:pPr>
              <w:pStyle w:val="233"/>
              <w:spacing w:before="61" w:line="220" w:lineRule="auto"/>
              <w:ind w:left="112"/>
              <w:jc w:val="center"/>
              <w:rPr>
                <w:spacing w:val="-3"/>
              </w:rPr>
            </w:pPr>
          </w:p>
        </w:tc>
        <w:tc>
          <w:tcPr>
            <w:tcW w:w="3432" w:type="dxa"/>
            <w:tcBorders>
              <w:left w:val="single" w:color="000000" w:sz="6" w:space="0"/>
            </w:tcBorders>
          </w:tcPr>
          <w:p>
            <w:pPr>
              <w:pStyle w:val="233"/>
              <w:spacing w:before="61" w:line="220" w:lineRule="auto"/>
              <w:ind w:left="112"/>
            </w:pPr>
            <w:r>
              <w:rPr>
                <w:rFonts w:hint="eastAsia"/>
                <w:spacing w:val="-3"/>
              </w:rPr>
              <w:t>志贺氏菌</w:t>
            </w:r>
            <w:r>
              <w:rPr>
                <w:rFonts w:hint="eastAsia"/>
                <w:spacing w:val="-3"/>
                <w:position w:val="7"/>
                <w:lang w:eastAsia="zh-CN"/>
              </w:rPr>
              <w:t>a</w:t>
            </w:r>
            <w:r>
              <w:rPr>
                <w:rFonts w:hint="eastAsia"/>
                <w:spacing w:val="-3"/>
              </w:rPr>
              <w:t>，/25g</w:t>
            </w:r>
          </w:p>
        </w:tc>
        <w:tc>
          <w:tcPr>
            <w:tcW w:w="1580" w:type="dxa"/>
          </w:tcPr>
          <w:p>
            <w:pPr>
              <w:pStyle w:val="233"/>
              <w:spacing w:before="68" w:line="220" w:lineRule="auto"/>
              <w:jc w:val="center"/>
            </w:pPr>
            <w:r>
              <w:rPr>
                <w:rFonts w:hint="eastAsia"/>
                <w:spacing w:val="-2"/>
              </w:rPr>
              <w:t>不得检出</w:t>
            </w:r>
          </w:p>
        </w:tc>
        <w:tc>
          <w:tcPr>
            <w:tcW w:w="2770" w:type="dxa"/>
            <w:tcBorders>
              <w:right w:val="single" w:color="000000" w:sz="6" w:space="0"/>
            </w:tcBorders>
          </w:tcPr>
          <w:p>
            <w:pPr>
              <w:spacing w:before="101" w:line="186" w:lineRule="auto"/>
              <w:jc w:val="center"/>
              <w:rPr>
                <w:rFonts w:ascii="宋体" w:hAnsi="宋体" w:cs="宋体"/>
                <w:sz w:val="18"/>
                <w:szCs w:val="18"/>
              </w:rPr>
            </w:pPr>
            <w:r>
              <w:rPr>
                <w:rFonts w:hint="eastAsia" w:ascii="宋体" w:hAnsi="宋体" w:cs="宋体"/>
                <w:spacing w:val="-1"/>
                <w:sz w:val="18"/>
                <w:szCs w:val="18"/>
              </w:rPr>
              <w:t>GB 4789.5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jc w:val="center"/>
        </w:trPr>
        <w:tc>
          <w:tcPr>
            <w:tcW w:w="1569" w:type="dxa"/>
            <w:vMerge w:val="continue"/>
            <w:tcBorders>
              <w:left w:val="single" w:color="000000" w:sz="6" w:space="0"/>
            </w:tcBorders>
            <w:vAlign w:val="center"/>
          </w:tcPr>
          <w:p>
            <w:pPr>
              <w:pStyle w:val="233"/>
              <w:spacing w:before="61" w:line="220" w:lineRule="auto"/>
              <w:ind w:left="112"/>
              <w:jc w:val="center"/>
              <w:rPr>
                <w:spacing w:val="-3"/>
              </w:rPr>
            </w:pPr>
          </w:p>
        </w:tc>
        <w:tc>
          <w:tcPr>
            <w:tcW w:w="3432" w:type="dxa"/>
            <w:tcBorders>
              <w:left w:val="single" w:color="000000" w:sz="6" w:space="0"/>
            </w:tcBorders>
          </w:tcPr>
          <w:p>
            <w:pPr>
              <w:pStyle w:val="233"/>
              <w:spacing w:before="49" w:line="228" w:lineRule="auto"/>
              <w:ind w:left="109"/>
              <w:rPr>
                <w:spacing w:val="-3"/>
              </w:rPr>
            </w:pPr>
            <w:r>
              <w:rPr>
                <w:rFonts w:hint="eastAsia"/>
                <w:spacing w:val="-2"/>
              </w:rPr>
              <w:t>蜡样芽孢杆菌</w:t>
            </w:r>
            <w:r>
              <w:rPr>
                <w:rFonts w:hint="eastAsia"/>
                <w:spacing w:val="-2"/>
                <w:position w:val="8"/>
                <w:lang w:eastAsia="zh-CN"/>
              </w:rPr>
              <w:t>b</w:t>
            </w:r>
            <w:r>
              <w:rPr>
                <w:rFonts w:hint="eastAsia"/>
                <w:spacing w:val="-2"/>
              </w:rPr>
              <w:t>，CFU/g</w:t>
            </w:r>
            <w:r>
              <w:rPr>
                <w:rFonts w:hint="eastAsia"/>
                <w:spacing w:val="1"/>
              </w:rPr>
              <w:t xml:space="preserve">        </w:t>
            </w:r>
            <w:r>
              <w:rPr>
                <w:rFonts w:hint="eastAsia"/>
                <w:spacing w:val="1"/>
                <w:lang w:eastAsia="zh-CN"/>
              </w:rPr>
              <w:t xml:space="preserve">  </w:t>
            </w:r>
            <w:r>
              <w:rPr>
                <w:rFonts w:hint="eastAsia"/>
                <w:spacing w:val="-2"/>
              </w:rPr>
              <w:t>≤</w:t>
            </w:r>
          </w:p>
        </w:tc>
        <w:tc>
          <w:tcPr>
            <w:tcW w:w="1580" w:type="dxa"/>
          </w:tcPr>
          <w:p>
            <w:pPr>
              <w:spacing w:before="98" w:line="186" w:lineRule="auto"/>
              <w:jc w:val="center"/>
              <w:rPr>
                <w:rFonts w:ascii="宋体" w:hAnsi="宋体" w:cs="宋体"/>
                <w:spacing w:val="-2"/>
                <w:sz w:val="18"/>
                <w:szCs w:val="18"/>
              </w:rPr>
            </w:pPr>
            <w:r>
              <w:rPr>
                <w:rFonts w:hint="eastAsia" w:ascii="宋体" w:hAnsi="宋体" w:cs="宋体"/>
                <w:spacing w:val="-7"/>
                <w:sz w:val="18"/>
                <w:szCs w:val="18"/>
              </w:rPr>
              <w:t>100</w:t>
            </w:r>
          </w:p>
        </w:tc>
        <w:tc>
          <w:tcPr>
            <w:tcW w:w="2770" w:type="dxa"/>
            <w:tcBorders>
              <w:right w:val="single" w:color="000000" w:sz="6" w:space="0"/>
            </w:tcBorders>
          </w:tcPr>
          <w:p>
            <w:pPr>
              <w:spacing w:before="94" w:line="190" w:lineRule="auto"/>
              <w:jc w:val="center"/>
              <w:rPr>
                <w:rFonts w:ascii="宋体" w:hAnsi="宋体" w:cs="宋体"/>
                <w:spacing w:val="-1"/>
                <w:sz w:val="18"/>
                <w:szCs w:val="18"/>
              </w:rPr>
            </w:pPr>
            <w:r>
              <w:rPr>
                <w:rFonts w:hint="eastAsia" w:ascii="宋体" w:hAnsi="宋体" w:cs="宋体"/>
                <w:spacing w:val="-1"/>
                <w:sz w:val="18"/>
                <w:szCs w:val="18"/>
              </w:rPr>
              <w:t>GB/T 4789.14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jc w:val="center"/>
        </w:trPr>
        <w:tc>
          <w:tcPr>
            <w:tcW w:w="1569" w:type="dxa"/>
            <w:vMerge w:val="continue"/>
            <w:tcBorders>
              <w:left w:val="single" w:color="000000" w:sz="6" w:space="0"/>
            </w:tcBorders>
            <w:vAlign w:val="center"/>
          </w:tcPr>
          <w:p>
            <w:pPr>
              <w:pStyle w:val="233"/>
              <w:spacing w:before="64" w:line="220" w:lineRule="auto"/>
              <w:ind w:left="111"/>
              <w:jc w:val="center"/>
              <w:rPr>
                <w:spacing w:val="-2"/>
              </w:rPr>
            </w:pPr>
          </w:p>
        </w:tc>
        <w:tc>
          <w:tcPr>
            <w:tcW w:w="3432" w:type="dxa"/>
            <w:tcBorders>
              <w:left w:val="single" w:color="000000" w:sz="6" w:space="0"/>
            </w:tcBorders>
          </w:tcPr>
          <w:p>
            <w:pPr>
              <w:pStyle w:val="233"/>
              <w:spacing w:before="64" w:line="220" w:lineRule="auto"/>
              <w:ind w:left="111"/>
              <w:rPr>
                <w:lang w:eastAsia="zh-CN"/>
              </w:rPr>
            </w:pPr>
            <w:r>
              <w:rPr>
                <w:rFonts w:hint="eastAsia"/>
                <w:spacing w:val="-2"/>
                <w:lang w:eastAsia="zh-CN"/>
              </w:rPr>
              <w:t>单核细胞增生李斯特氏菌</w:t>
            </w:r>
            <w:r>
              <w:rPr>
                <w:rFonts w:hint="eastAsia"/>
                <w:spacing w:val="-2"/>
                <w:position w:val="8"/>
                <w:lang w:eastAsia="zh-CN"/>
              </w:rPr>
              <w:t>c</w:t>
            </w:r>
            <w:r>
              <w:rPr>
                <w:rFonts w:hint="eastAsia"/>
                <w:spacing w:val="-2"/>
                <w:lang w:eastAsia="zh-CN"/>
              </w:rPr>
              <w:t>，/25g</w:t>
            </w:r>
          </w:p>
        </w:tc>
        <w:tc>
          <w:tcPr>
            <w:tcW w:w="1580" w:type="dxa"/>
          </w:tcPr>
          <w:p>
            <w:pPr>
              <w:pStyle w:val="233"/>
              <w:spacing w:before="72" w:line="220" w:lineRule="auto"/>
              <w:jc w:val="center"/>
            </w:pPr>
            <w:r>
              <w:rPr>
                <w:rFonts w:hint="eastAsia"/>
                <w:spacing w:val="-2"/>
              </w:rPr>
              <w:t>不得检出</w:t>
            </w:r>
          </w:p>
        </w:tc>
        <w:tc>
          <w:tcPr>
            <w:tcW w:w="2770" w:type="dxa"/>
            <w:tcBorders>
              <w:right w:val="single" w:color="000000" w:sz="6" w:space="0"/>
            </w:tcBorders>
          </w:tcPr>
          <w:p>
            <w:pPr>
              <w:spacing w:before="105" w:line="186" w:lineRule="auto"/>
              <w:jc w:val="center"/>
              <w:rPr>
                <w:rFonts w:ascii="宋体" w:hAnsi="宋体" w:cs="宋体"/>
                <w:sz w:val="18"/>
                <w:szCs w:val="18"/>
              </w:rPr>
            </w:pPr>
            <w:r>
              <w:rPr>
                <w:rFonts w:hint="eastAsia" w:ascii="宋体" w:hAnsi="宋体" w:cs="宋体"/>
                <w:spacing w:val="-1"/>
                <w:sz w:val="18"/>
                <w:szCs w:val="18"/>
              </w:rPr>
              <w:t>GB 4789.30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vAlign w:val="center"/>
          </w:tcPr>
          <w:p>
            <w:pPr>
              <w:pStyle w:val="233"/>
              <w:spacing w:before="63" w:line="220" w:lineRule="auto"/>
              <w:ind w:left="113"/>
              <w:jc w:val="center"/>
              <w:rPr>
                <w:spacing w:val="-3"/>
              </w:rPr>
            </w:pPr>
          </w:p>
        </w:tc>
        <w:tc>
          <w:tcPr>
            <w:tcW w:w="3432" w:type="dxa"/>
            <w:tcBorders>
              <w:left w:val="single" w:color="000000" w:sz="6" w:space="0"/>
              <w:bottom w:val="single" w:color="000000" w:sz="6" w:space="0"/>
            </w:tcBorders>
          </w:tcPr>
          <w:p>
            <w:pPr>
              <w:pStyle w:val="233"/>
              <w:spacing w:before="63" w:line="220" w:lineRule="auto"/>
              <w:ind w:left="113"/>
            </w:pPr>
            <w:r>
              <w:rPr>
                <w:rFonts w:hint="eastAsia"/>
                <w:spacing w:val="-3"/>
              </w:rPr>
              <w:t>副溶血性弧菌</w:t>
            </w:r>
            <w:r>
              <w:rPr>
                <w:rFonts w:hint="eastAsia"/>
                <w:spacing w:val="-3"/>
                <w:position w:val="7"/>
                <w:lang w:eastAsia="zh-CN"/>
              </w:rPr>
              <w:t>d</w:t>
            </w:r>
            <w:r>
              <w:rPr>
                <w:rFonts w:hint="eastAsia"/>
                <w:spacing w:val="-3"/>
              </w:rPr>
              <w:t>，/25g</w:t>
            </w:r>
          </w:p>
        </w:tc>
        <w:tc>
          <w:tcPr>
            <w:tcW w:w="1580" w:type="dxa"/>
            <w:tcBorders>
              <w:bottom w:val="single" w:color="000000" w:sz="6" w:space="0"/>
            </w:tcBorders>
          </w:tcPr>
          <w:p>
            <w:pPr>
              <w:pStyle w:val="233"/>
              <w:spacing w:before="70" w:line="220" w:lineRule="auto"/>
              <w:jc w:val="center"/>
            </w:pPr>
            <w:r>
              <w:rPr>
                <w:rFonts w:hint="eastAsia"/>
                <w:spacing w:val="-2"/>
              </w:rPr>
              <w:t>不得检出</w:t>
            </w:r>
          </w:p>
        </w:tc>
        <w:tc>
          <w:tcPr>
            <w:tcW w:w="2770" w:type="dxa"/>
            <w:tcBorders>
              <w:bottom w:val="single" w:color="000000" w:sz="6" w:space="0"/>
              <w:right w:val="single" w:color="000000" w:sz="6" w:space="0"/>
            </w:tcBorders>
          </w:tcPr>
          <w:p>
            <w:pPr>
              <w:spacing w:before="104" w:line="186" w:lineRule="auto"/>
              <w:jc w:val="center"/>
              <w:rPr>
                <w:rFonts w:ascii="宋体" w:hAnsi="宋体" w:cs="宋体"/>
                <w:sz w:val="18"/>
                <w:szCs w:val="18"/>
              </w:rPr>
            </w:pPr>
            <w:r>
              <w:rPr>
                <w:rFonts w:hint="eastAsia" w:ascii="宋体" w:hAnsi="宋体" w:cs="宋体"/>
                <w:spacing w:val="-1"/>
                <w:sz w:val="18"/>
                <w:szCs w:val="18"/>
              </w:rPr>
              <w:t>GB 4789.7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jc w:val="center"/>
        </w:trPr>
        <w:tc>
          <w:tcPr>
            <w:tcW w:w="1569" w:type="dxa"/>
            <w:vMerge w:val="continue"/>
            <w:tcBorders>
              <w:left w:val="single" w:color="000000" w:sz="6" w:space="0"/>
            </w:tcBorders>
            <w:vAlign w:val="center"/>
          </w:tcPr>
          <w:p>
            <w:pPr>
              <w:pStyle w:val="233"/>
              <w:spacing w:before="59" w:line="220" w:lineRule="auto"/>
              <w:ind w:left="111"/>
              <w:jc w:val="center"/>
              <w:rPr>
                <w:spacing w:val="-1"/>
              </w:rPr>
            </w:pPr>
          </w:p>
        </w:tc>
        <w:tc>
          <w:tcPr>
            <w:tcW w:w="3432" w:type="dxa"/>
            <w:tcBorders>
              <w:top w:val="single" w:color="000000" w:sz="6" w:space="0"/>
              <w:left w:val="single" w:color="000000" w:sz="6" w:space="0"/>
            </w:tcBorders>
          </w:tcPr>
          <w:p>
            <w:pPr>
              <w:pStyle w:val="233"/>
              <w:spacing w:before="59" w:line="220" w:lineRule="auto"/>
              <w:ind w:left="111"/>
            </w:pPr>
            <w:r>
              <w:rPr>
                <w:rFonts w:hint="eastAsia"/>
                <w:spacing w:val="-1"/>
              </w:rPr>
              <w:t>大肠埃希氏菌O157:H7</w:t>
            </w:r>
            <w:r>
              <w:rPr>
                <w:rFonts w:hint="eastAsia"/>
                <w:spacing w:val="-1"/>
                <w:position w:val="7"/>
                <w:lang w:eastAsia="zh-CN"/>
              </w:rPr>
              <w:t>e</w:t>
            </w:r>
            <w:r>
              <w:rPr>
                <w:rFonts w:hint="eastAsia"/>
                <w:spacing w:val="-1"/>
              </w:rPr>
              <w:t>，/25g</w:t>
            </w:r>
          </w:p>
        </w:tc>
        <w:tc>
          <w:tcPr>
            <w:tcW w:w="1580" w:type="dxa"/>
            <w:tcBorders>
              <w:top w:val="single" w:color="000000" w:sz="6" w:space="0"/>
            </w:tcBorders>
          </w:tcPr>
          <w:p>
            <w:pPr>
              <w:pStyle w:val="233"/>
              <w:spacing w:before="66" w:line="220" w:lineRule="auto"/>
              <w:jc w:val="center"/>
            </w:pPr>
            <w:r>
              <w:rPr>
                <w:rFonts w:hint="eastAsia"/>
                <w:spacing w:val="-2"/>
              </w:rPr>
              <w:t>不得检出</w:t>
            </w:r>
          </w:p>
        </w:tc>
        <w:tc>
          <w:tcPr>
            <w:tcW w:w="2770" w:type="dxa"/>
            <w:tcBorders>
              <w:top w:val="single" w:color="000000" w:sz="6" w:space="0"/>
              <w:right w:val="single" w:color="000000" w:sz="6" w:space="0"/>
            </w:tcBorders>
          </w:tcPr>
          <w:p>
            <w:pPr>
              <w:spacing w:before="96" w:line="190" w:lineRule="auto"/>
              <w:jc w:val="center"/>
              <w:rPr>
                <w:rFonts w:ascii="宋体" w:hAnsi="宋体" w:cs="宋体"/>
                <w:sz w:val="18"/>
                <w:szCs w:val="18"/>
              </w:rPr>
            </w:pPr>
            <w:r>
              <w:rPr>
                <w:rFonts w:hint="eastAsia" w:ascii="宋体" w:hAnsi="宋体" w:cs="宋体"/>
                <w:spacing w:val="-1"/>
                <w:sz w:val="18"/>
                <w:szCs w:val="18"/>
              </w:rPr>
              <w:t>GB/T 4789.36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restart"/>
            <w:tcBorders>
              <w:left w:val="single" w:color="000000" w:sz="6" w:space="0"/>
            </w:tcBorders>
            <w:vAlign w:val="center"/>
          </w:tcPr>
          <w:p>
            <w:pPr>
              <w:pStyle w:val="233"/>
              <w:spacing w:before="59" w:line="220" w:lineRule="auto"/>
              <w:ind w:left="111"/>
              <w:jc w:val="center"/>
              <w:rPr>
                <w:spacing w:val="-1"/>
                <w:lang w:eastAsia="zh-CN"/>
              </w:rPr>
            </w:pPr>
            <w:r>
              <w:rPr>
                <w:rFonts w:hint="eastAsia"/>
                <w:spacing w:val="-1"/>
                <w:lang w:eastAsia="zh-CN"/>
              </w:rPr>
              <w:t>凉菜</w:t>
            </w:r>
          </w:p>
        </w:tc>
        <w:tc>
          <w:tcPr>
            <w:tcW w:w="3432" w:type="dxa"/>
            <w:tcBorders>
              <w:top w:val="single" w:color="000000" w:sz="6" w:space="0"/>
              <w:left w:val="single" w:color="000000" w:sz="6" w:space="0"/>
            </w:tcBorders>
          </w:tcPr>
          <w:p>
            <w:pPr>
              <w:pStyle w:val="233"/>
              <w:spacing w:before="59" w:line="220" w:lineRule="auto"/>
              <w:ind w:left="111"/>
              <w:rPr>
                <w:spacing w:val="-1"/>
                <w:lang w:eastAsia="zh-CN"/>
              </w:rPr>
            </w:pPr>
            <w:r>
              <w:rPr>
                <w:rFonts w:hint="eastAsia"/>
                <w:spacing w:val="-1"/>
              </w:rPr>
              <w:t>大肠埃希氏菌</w:t>
            </w:r>
            <w:r>
              <w:rPr>
                <w:rFonts w:hint="eastAsia"/>
                <w:spacing w:val="-1"/>
                <w:lang w:eastAsia="zh-CN"/>
              </w:rPr>
              <w:t>，MPN/g</w:t>
            </w:r>
          </w:p>
        </w:tc>
        <w:tc>
          <w:tcPr>
            <w:tcW w:w="1580" w:type="dxa"/>
            <w:tcBorders>
              <w:top w:val="single" w:color="000000" w:sz="6" w:space="0"/>
            </w:tcBorders>
          </w:tcPr>
          <w:p>
            <w:pPr>
              <w:pStyle w:val="233"/>
              <w:spacing w:before="66" w:line="220" w:lineRule="auto"/>
              <w:jc w:val="center"/>
              <w:rPr>
                <w:spacing w:val="-2"/>
                <w:lang w:eastAsia="zh-CN"/>
              </w:rPr>
            </w:pPr>
            <w:r>
              <w:rPr>
                <w:rFonts w:hint="eastAsia"/>
                <w:spacing w:val="-2"/>
                <w:lang w:eastAsia="zh-CN"/>
              </w:rPr>
              <w:t>＜3.0</w:t>
            </w:r>
          </w:p>
        </w:tc>
        <w:tc>
          <w:tcPr>
            <w:tcW w:w="2770" w:type="dxa"/>
            <w:tcBorders>
              <w:top w:val="single" w:color="000000" w:sz="6" w:space="0"/>
              <w:right w:val="single" w:color="000000" w:sz="6" w:space="0"/>
            </w:tcBorders>
          </w:tcPr>
          <w:p>
            <w:pPr>
              <w:spacing w:before="96" w:line="190" w:lineRule="auto"/>
              <w:jc w:val="center"/>
              <w:rPr>
                <w:rFonts w:ascii="宋体" w:hAnsi="宋体" w:cs="宋体"/>
                <w:spacing w:val="-1"/>
                <w:sz w:val="18"/>
                <w:szCs w:val="18"/>
              </w:rPr>
            </w:pPr>
            <w:r>
              <w:rPr>
                <w:rFonts w:hint="eastAsia" w:ascii="宋体" w:hAnsi="宋体" w:cs="宋体"/>
                <w:spacing w:val="-1"/>
                <w:sz w:val="18"/>
                <w:szCs w:val="18"/>
              </w:rPr>
              <w:t>GB 4789.38 第一法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tcPr>
          <w:p>
            <w:pPr>
              <w:pStyle w:val="233"/>
              <w:spacing w:before="59" w:line="220" w:lineRule="auto"/>
              <w:ind w:left="111"/>
              <w:rPr>
                <w:spacing w:val="-1"/>
              </w:rPr>
            </w:pPr>
          </w:p>
        </w:tc>
        <w:tc>
          <w:tcPr>
            <w:tcW w:w="3432" w:type="dxa"/>
            <w:tcBorders>
              <w:top w:val="single" w:color="000000" w:sz="6" w:space="0"/>
              <w:left w:val="single" w:color="000000" w:sz="6" w:space="0"/>
            </w:tcBorders>
          </w:tcPr>
          <w:p>
            <w:pPr>
              <w:pStyle w:val="233"/>
              <w:spacing w:before="58" w:line="220" w:lineRule="auto"/>
              <w:ind w:left="111"/>
              <w:rPr>
                <w:spacing w:val="-1"/>
              </w:rPr>
            </w:pPr>
            <w:r>
              <w:rPr>
                <w:rFonts w:hint="eastAsia"/>
                <w:spacing w:val="-3"/>
              </w:rPr>
              <w:t>沙门氏菌，/25g</w:t>
            </w:r>
          </w:p>
        </w:tc>
        <w:tc>
          <w:tcPr>
            <w:tcW w:w="1580" w:type="dxa"/>
            <w:tcBorders>
              <w:top w:val="single" w:color="000000" w:sz="6" w:space="0"/>
            </w:tcBorders>
          </w:tcPr>
          <w:p>
            <w:pPr>
              <w:pStyle w:val="233"/>
              <w:spacing w:before="67" w:line="220" w:lineRule="auto"/>
              <w:jc w:val="center"/>
              <w:rPr>
                <w:spacing w:val="-2"/>
              </w:rPr>
            </w:pPr>
            <w:r>
              <w:rPr>
                <w:rFonts w:hint="eastAsia"/>
                <w:spacing w:val="-2"/>
              </w:rPr>
              <w:t>不得检出</w:t>
            </w:r>
          </w:p>
        </w:tc>
        <w:tc>
          <w:tcPr>
            <w:tcW w:w="2770" w:type="dxa"/>
            <w:tcBorders>
              <w:top w:val="single" w:color="000000" w:sz="6" w:space="0"/>
              <w:right w:val="single" w:color="000000" w:sz="6" w:space="0"/>
            </w:tcBorders>
          </w:tcPr>
          <w:p>
            <w:pPr>
              <w:spacing w:before="99" w:line="186" w:lineRule="auto"/>
              <w:jc w:val="center"/>
              <w:rPr>
                <w:rFonts w:ascii="宋体" w:hAnsi="宋体" w:cs="宋体"/>
                <w:spacing w:val="-1"/>
                <w:sz w:val="18"/>
                <w:szCs w:val="18"/>
              </w:rPr>
            </w:pPr>
            <w:r>
              <w:rPr>
                <w:rFonts w:hint="eastAsia" w:ascii="宋体" w:hAnsi="宋体" w:cs="宋体"/>
                <w:spacing w:val="-1"/>
                <w:sz w:val="18"/>
                <w:szCs w:val="18"/>
              </w:rPr>
              <w:t>GB 4789.4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tcPr>
          <w:p>
            <w:pPr>
              <w:pStyle w:val="233"/>
              <w:spacing w:before="59" w:line="220" w:lineRule="auto"/>
              <w:ind w:left="111"/>
              <w:rPr>
                <w:spacing w:val="-1"/>
              </w:rPr>
            </w:pPr>
          </w:p>
        </w:tc>
        <w:tc>
          <w:tcPr>
            <w:tcW w:w="3432" w:type="dxa"/>
            <w:tcBorders>
              <w:top w:val="single" w:color="000000" w:sz="6" w:space="0"/>
              <w:left w:val="single" w:color="000000" w:sz="6" w:space="0"/>
            </w:tcBorders>
          </w:tcPr>
          <w:p>
            <w:pPr>
              <w:pStyle w:val="233"/>
              <w:spacing w:before="60" w:line="220" w:lineRule="auto"/>
              <w:ind w:left="111"/>
              <w:rPr>
                <w:spacing w:val="-1"/>
              </w:rPr>
            </w:pPr>
            <w:r>
              <w:rPr>
                <w:rFonts w:hint="eastAsia"/>
                <w:spacing w:val="-2"/>
              </w:rPr>
              <w:t>金黄色葡萄球菌，/25g</w:t>
            </w:r>
          </w:p>
        </w:tc>
        <w:tc>
          <w:tcPr>
            <w:tcW w:w="1580" w:type="dxa"/>
            <w:tcBorders>
              <w:top w:val="single" w:color="000000" w:sz="6" w:space="0"/>
            </w:tcBorders>
          </w:tcPr>
          <w:p>
            <w:pPr>
              <w:pStyle w:val="233"/>
              <w:spacing w:before="68" w:line="220" w:lineRule="auto"/>
              <w:jc w:val="center"/>
              <w:rPr>
                <w:spacing w:val="-2"/>
              </w:rPr>
            </w:pPr>
            <w:r>
              <w:rPr>
                <w:rFonts w:hint="eastAsia"/>
                <w:spacing w:val="-2"/>
              </w:rPr>
              <w:t>不得检出</w:t>
            </w:r>
          </w:p>
        </w:tc>
        <w:tc>
          <w:tcPr>
            <w:tcW w:w="2770" w:type="dxa"/>
            <w:tcBorders>
              <w:top w:val="single" w:color="000000" w:sz="6" w:space="0"/>
              <w:right w:val="single" w:color="000000" w:sz="6" w:space="0"/>
            </w:tcBorders>
          </w:tcPr>
          <w:p>
            <w:pPr>
              <w:spacing w:before="101" w:line="186" w:lineRule="auto"/>
              <w:jc w:val="center"/>
              <w:rPr>
                <w:rFonts w:ascii="宋体" w:hAnsi="宋体" w:cs="宋体"/>
                <w:spacing w:val="-1"/>
                <w:sz w:val="18"/>
                <w:szCs w:val="18"/>
              </w:rPr>
            </w:pPr>
            <w:r>
              <w:rPr>
                <w:rFonts w:hint="eastAsia" w:ascii="宋体" w:hAnsi="宋体" w:cs="宋体"/>
                <w:spacing w:val="-1"/>
                <w:sz w:val="18"/>
                <w:szCs w:val="18"/>
              </w:rPr>
              <w:t>GB 4789.10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tcPr>
          <w:p>
            <w:pPr>
              <w:pStyle w:val="233"/>
              <w:spacing w:before="59" w:line="220" w:lineRule="auto"/>
              <w:ind w:left="111"/>
              <w:rPr>
                <w:spacing w:val="-1"/>
              </w:rPr>
            </w:pPr>
          </w:p>
        </w:tc>
        <w:tc>
          <w:tcPr>
            <w:tcW w:w="3432" w:type="dxa"/>
            <w:tcBorders>
              <w:top w:val="single" w:color="000000" w:sz="6" w:space="0"/>
              <w:left w:val="single" w:color="000000" w:sz="6" w:space="0"/>
            </w:tcBorders>
          </w:tcPr>
          <w:p>
            <w:pPr>
              <w:pStyle w:val="233"/>
              <w:spacing w:before="61" w:line="220" w:lineRule="auto"/>
              <w:ind w:left="112"/>
              <w:rPr>
                <w:spacing w:val="-1"/>
              </w:rPr>
            </w:pPr>
            <w:r>
              <w:rPr>
                <w:rFonts w:hint="eastAsia"/>
                <w:spacing w:val="-3"/>
              </w:rPr>
              <w:t>志贺氏菌，/25g</w:t>
            </w:r>
          </w:p>
        </w:tc>
        <w:tc>
          <w:tcPr>
            <w:tcW w:w="1580" w:type="dxa"/>
            <w:tcBorders>
              <w:top w:val="single" w:color="000000" w:sz="6" w:space="0"/>
            </w:tcBorders>
          </w:tcPr>
          <w:p>
            <w:pPr>
              <w:pStyle w:val="233"/>
              <w:spacing w:before="72" w:line="220" w:lineRule="auto"/>
              <w:jc w:val="center"/>
              <w:rPr>
                <w:spacing w:val="-2"/>
              </w:rPr>
            </w:pPr>
            <w:r>
              <w:rPr>
                <w:rFonts w:hint="eastAsia"/>
                <w:spacing w:val="-2"/>
              </w:rPr>
              <w:t>不得检出</w:t>
            </w:r>
          </w:p>
        </w:tc>
        <w:tc>
          <w:tcPr>
            <w:tcW w:w="2770" w:type="dxa"/>
            <w:tcBorders>
              <w:top w:val="single" w:color="000000" w:sz="6" w:space="0"/>
              <w:right w:val="single" w:color="000000" w:sz="6" w:space="0"/>
            </w:tcBorders>
          </w:tcPr>
          <w:p>
            <w:pPr>
              <w:spacing w:before="101" w:line="186" w:lineRule="auto"/>
              <w:jc w:val="center"/>
              <w:rPr>
                <w:rFonts w:ascii="宋体" w:hAnsi="宋体" w:cs="宋体"/>
                <w:spacing w:val="-1"/>
                <w:sz w:val="18"/>
                <w:szCs w:val="18"/>
              </w:rPr>
            </w:pPr>
            <w:r>
              <w:rPr>
                <w:rFonts w:hint="eastAsia" w:ascii="宋体" w:hAnsi="宋体" w:cs="宋体"/>
                <w:spacing w:val="-1"/>
                <w:sz w:val="18"/>
                <w:szCs w:val="18"/>
              </w:rPr>
              <w:t>GB 4789.5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tcPr>
          <w:p>
            <w:pPr>
              <w:pStyle w:val="233"/>
              <w:spacing w:before="59" w:line="220" w:lineRule="auto"/>
              <w:ind w:left="111"/>
              <w:rPr>
                <w:spacing w:val="-1"/>
              </w:rPr>
            </w:pPr>
          </w:p>
        </w:tc>
        <w:tc>
          <w:tcPr>
            <w:tcW w:w="3432" w:type="dxa"/>
            <w:tcBorders>
              <w:top w:val="single" w:color="000000" w:sz="6" w:space="0"/>
              <w:left w:val="single" w:color="000000" w:sz="6" w:space="0"/>
            </w:tcBorders>
          </w:tcPr>
          <w:p>
            <w:pPr>
              <w:pStyle w:val="233"/>
              <w:spacing w:before="64" w:line="220" w:lineRule="auto"/>
              <w:ind w:left="111"/>
              <w:rPr>
                <w:spacing w:val="-1"/>
                <w:lang w:eastAsia="zh-CN"/>
              </w:rPr>
            </w:pPr>
            <w:r>
              <w:rPr>
                <w:rFonts w:hint="eastAsia"/>
                <w:spacing w:val="-2"/>
                <w:lang w:eastAsia="zh-CN"/>
              </w:rPr>
              <w:t>单核细胞增生李斯特氏菌</w:t>
            </w:r>
            <w:r>
              <w:rPr>
                <w:rFonts w:hint="eastAsia"/>
                <w:spacing w:val="-3"/>
                <w:position w:val="7"/>
                <w:lang w:eastAsia="zh-CN"/>
              </w:rPr>
              <w:t>c</w:t>
            </w:r>
            <w:r>
              <w:rPr>
                <w:rFonts w:hint="eastAsia"/>
                <w:spacing w:val="-2"/>
                <w:lang w:eastAsia="zh-CN"/>
              </w:rPr>
              <w:t>，/25g</w:t>
            </w:r>
          </w:p>
        </w:tc>
        <w:tc>
          <w:tcPr>
            <w:tcW w:w="1580" w:type="dxa"/>
            <w:tcBorders>
              <w:top w:val="single" w:color="000000" w:sz="6" w:space="0"/>
            </w:tcBorders>
          </w:tcPr>
          <w:p>
            <w:pPr>
              <w:pStyle w:val="233"/>
              <w:spacing w:before="70" w:line="220" w:lineRule="auto"/>
              <w:jc w:val="center"/>
              <w:rPr>
                <w:spacing w:val="-2"/>
              </w:rPr>
            </w:pPr>
            <w:r>
              <w:rPr>
                <w:rFonts w:hint="eastAsia"/>
                <w:spacing w:val="-2"/>
              </w:rPr>
              <w:t>不得检出</w:t>
            </w:r>
          </w:p>
        </w:tc>
        <w:tc>
          <w:tcPr>
            <w:tcW w:w="2770" w:type="dxa"/>
            <w:tcBorders>
              <w:top w:val="single" w:color="000000" w:sz="6" w:space="0"/>
              <w:right w:val="single" w:color="000000" w:sz="6" w:space="0"/>
            </w:tcBorders>
          </w:tcPr>
          <w:p>
            <w:pPr>
              <w:spacing w:before="105" w:line="186" w:lineRule="auto"/>
              <w:jc w:val="center"/>
              <w:rPr>
                <w:rFonts w:ascii="宋体" w:hAnsi="宋体" w:cs="宋体"/>
                <w:spacing w:val="-1"/>
                <w:sz w:val="18"/>
                <w:szCs w:val="18"/>
              </w:rPr>
            </w:pPr>
            <w:r>
              <w:rPr>
                <w:rFonts w:hint="eastAsia" w:ascii="宋体" w:hAnsi="宋体" w:cs="宋体"/>
                <w:spacing w:val="-1"/>
                <w:sz w:val="18"/>
                <w:szCs w:val="18"/>
              </w:rPr>
              <w:t>GB 4789.30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tcBorders>
          </w:tcPr>
          <w:p>
            <w:pPr>
              <w:pStyle w:val="233"/>
              <w:spacing w:before="59" w:line="220" w:lineRule="auto"/>
              <w:ind w:left="111"/>
              <w:rPr>
                <w:spacing w:val="-1"/>
              </w:rPr>
            </w:pPr>
          </w:p>
        </w:tc>
        <w:tc>
          <w:tcPr>
            <w:tcW w:w="3432" w:type="dxa"/>
            <w:tcBorders>
              <w:top w:val="single" w:color="000000" w:sz="6" w:space="0"/>
              <w:left w:val="single" w:color="000000" w:sz="6" w:space="0"/>
            </w:tcBorders>
          </w:tcPr>
          <w:p>
            <w:pPr>
              <w:pStyle w:val="233"/>
              <w:spacing w:before="63" w:line="220" w:lineRule="auto"/>
              <w:ind w:left="113"/>
              <w:rPr>
                <w:spacing w:val="-1"/>
              </w:rPr>
            </w:pPr>
            <w:r>
              <w:rPr>
                <w:rFonts w:hint="eastAsia"/>
                <w:spacing w:val="-3"/>
              </w:rPr>
              <w:t>副溶血性弧菌</w:t>
            </w:r>
            <w:r>
              <w:rPr>
                <w:rFonts w:hint="eastAsia"/>
                <w:spacing w:val="-3"/>
                <w:position w:val="7"/>
                <w:lang w:eastAsia="zh-CN"/>
              </w:rPr>
              <w:t>d</w:t>
            </w:r>
            <w:r>
              <w:rPr>
                <w:rFonts w:hint="eastAsia"/>
                <w:spacing w:val="-3"/>
              </w:rPr>
              <w:t>，/25g</w:t>
            </w:r>
          </w:p>
        </w:tc>
        <w:tc>
          <w:tcPr>
            <w:tcW w:w="1580" w:type="dxa"/>
            <w:tcBorders>
              <w:top w:val="single" w:color="000000" w:sz="6" w:space="0"/>
            </w:tcBorders>
          </w:tcPr>
          <w:p>
            <w:pPr>
              <w:pStyle w:val="233"/>
              <w:spacing w:before="66" w:line="220" w:lineRule="auto"/>
              <w:jc w:val="center"/>
              <w:rPr>
                <w:spacing w:val="-2"/>
              </w:rPr>
            </w:pPr>
            <w:r>
              <w:rPr>
                <w:rFonts w:hint="eastAsia"/>
                <w:spacing w:val="-2"/>
              </w:rPr>
              <w:t>不得检出</w:t>
            </w:r>
          </w:p>
        </w:tc>
        <w:tc>
          <w:tcPr>
            <w:tcW w:w="2770" w:type="dxa"/>
            <w:tcBorders>
              <w:top w:val="single" w:color="000000" w:sz="6" w:space="0"/>
              <w:right w:val="single" w:color="000000" w:sz="6" w:space="0"/>
            </w:tcBorders>
          </w:tcPr>
          <w:p>
            <w:pPr>
              <w:spacing w:before="104" w:line="186" w:lineRule="auto"/>
              <w:jc w:val="center"/>
              <w:rPr>
                <w:rFonts w:ascii="宋体" w:hAnsi="宋体" w:cs="宋体"/>
                <w:spacing w:val="-1"/>
                <w:sz w:val="18"/>
                <w:szCs w:val="18"/>
              </w:rPr>
            </w:pPr>
            <w:r>
              <w:rPr>
                <w:rFonts w:hint="eastAsia" w:ascii="宋体" w:hAnsi="宋体" w:cs="宋体"/>
                <w:spacing w:val="-1"/>
                <w:sz w:val="18"/>
                <w:szCs w:val="18"/>
              </w:rPr>
              <w:t>GB 4789.7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569" w:type="dxa"/>
            <w:vMerge w:val="continue"/>
            <w:tcBorders>
              <w:left w:val="single" w:color="000000" w:sz="6" w:space="0"/>
              <w:bottom w:val="single" w:color="000000" w:sz="8" w:space="0"/>
            </w:tcBorders>
          </w:tcPr>
          <w:p>
            <w:pPr>
              <w:pStyle w:val="233"/>
              <w:spacing w:before="59" w:line="220" w:lineRule="auto"/>
              <w:ind w:left="111"/>
              <w:rPr>
                <w:spacing w:val="-1"/>
              </w:rPr>
            </w:pPr>
          </w:p>
        </w:tc>
        <w:tc>
          <w:tcPr>
            <w:tcW w:w="3432" w:type="dxa"/>
            <w:tcBorders>
              <w:top w:val="single" w:color="000000" w:sz="6" w:space="0"/>
              <w:left w:val="single" w:color="000000" w:sz="6" w:space="0"/>
              <w:bottom w:val="single" w:color="000000" w:sz="8" w:space="0"/>
            </w:tcBorders>
          </w:tcPr>
          <w:p>
            <w:pPr>
              <w:pStyle w:val="233"/>
              <w:spacing w:before="59" w:line="220" w:lineRule="auto"/>
              <w:ind w:left="111"/>
              <w:rPr>
                <w:spacing w:val="-3"/>
              </w:rPr>
            </w:pPr>
            <w:r>
              <w:rPr>
                <w:rFonts w:hint="eastAsia"/>
                <w:spacing w:val="-1"/>
              </w:rPr>
              <w:t>大肠埃希氏菌O157:H7</w:t>
            </w:r>
            <w:r>
              <w:rPr>
                <w:rFonts w:hint="eastAsia"/>
                <w:spacing w:val="-1"/>
                <w:position w:val="7"/>
                <w:lang w:eastAsia="zh-CN"/>
              </w:rPr>
              <w:t>e</w:t>
            </w:r>
            <w:r>
              <w:rPr>
                <w:rFonts w:hint="eastAsia"/>
                <w:spacing w:val="-1"/>
              </w:rPr>
              <w:t>，/25g</w:t>
            </w:r>
          </w:p>
        </w:tc>
        <w:tc>
          <w:tcPr>
            <w:tcW w:w="1580" w:type="dxa"/>
            <w:tcBorders>
              <w:top w:val="single" w:color="000000" w:sz="6" w:space="0"/>
              <w:bottom w:val="single" w:color="000000" w:sz="8" w:space="0"/>
            </w:tcBorders>
          </w:tcPr>
          <w:p>
            <w:pPr>
              <w:pStyle w:val="233"/>
              <w:spacing w:before="66" w:line="220" w:lineRule="auto"/>
              <w:jc w:val="center"/>
              <w:rPr>
                <w:spacing w:val="-2"/>
              </w:rPr>
            </w:pPr>
            <w:r>
              <w:rPr>
                <w:rFonts w:hint="eastAsia"/>
                <w:spacing w:val="-2"/>
              </w:rPr>
              <w:t>不得检出</w:t>
            </w:r>
          </w:p>
        </w:tc>
        <w:tc>
          <w:tcPr>
            <w:tcW w:w="2770" w:type="dxa"/>
            <w:tcBorders>
              <w:top w:val="single" w:color="000000" w:sz="6" w:space="0"/>
              <w:bottom w:val="single" w:color="000000" w:sz="8" w:space="0"/>
              <w:right w:val="single" w:color="000000" w:sz="6" w:space="0"/>
            </w:tcBorders>
          </w:tcPr>
          <w:p>
            <w:pPr>
              <w:spacing w:before="96" w:line="190" w:lineRule="auto"/>
              <w:jc w:val="center"/>
              <w:rPr>
                <w:rFonts w:ascii="宋体" w:hAnsi="宋体" w:cs="宋体"/>
                <w:spacing w:val="-1"/>
                <w:sz w:val="18"/>
                <w:szCs w:val="18"/>
              </w:rPr>
            </w:pPr>
            <w:r>
              <w:rPr>
                <w:rFonts w:hint="eastAsia" w:ascii="宋体" w:hAnsi="宋体" w:cs="宋体"/>
                <w:spacing w:val="-1"/>
                <w:sz w:val="18"/>
                <w:szCs w:val="18"/>
              </w:rPr>
              <w:t>GB/T 4789.36</w:t>
            </w:r>
            <w:r>
              <w:rPr>
                <w:rFonts w:ascii="宋体" w:hAnsi="宋体" w:cs="宋体"/>
                <w:spacing w:val="-1"/>
                <w:sz w:val="18"/>
                <w:szCs w:val="18"/>
                <w:vertAlign w:val="superscript"/>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9351" w:type="dxa"/>
            <w:gridSpan w:val="4"/>
            <w:tcBorders>
              <w:top w:val="single" w:color="000000" w:sz="8" w:space="0"/>
              <w:left w:val="single" w:color="000000" w:sz="6" w:space="0"/>
              <w:bottom w:val="single" w:color="000000" w:sz="8" w:space="0"/>
              <w:right w:val="single" w:color="000000" w:sz="6" w:space="0"/>
            </w:tcBorders>
            <w:shd w:val="clear" w:color="auto" w:fill="auto"/>
          </w:tcPr>
          <w:p>
            <w:pPr>
              <w:pStyle w:val="104"/>
            </w:pPr>
            <w:r>
              <w:t>盒装膳食：大肠菌群、金黄色葡萄球菌、沙门氏菌、志贺氏菌的检测取膳食混合样。</w:t>
            </w:r>
          </w:p>
          <w:p>
            <w:pPr>
              <w:pStyle w:val="104"/>
            </w:pPr>
            <w:r>
              <w:t>仅适用于以米为主要原料制作的膳食</w:t>
            </w:r>
            <w:r>
              <w:rPr>
                <w:rFonts w:hint="eastAsia"/>
              </w:rPr>
              <w:t>。</w:t>
            </w:r>
          </w:p>
          <w:p>
            <w:pPr>
              <w:pStyle w:val="104"/>
            </w:pPr>
            <w:r>
              <w:t>仅适用于膳食中的肉制品或含乳类食品</w:t>
            </w:r>
            <w:r>
              <w:rPr>
                <w:rFonts w:hint="eastAsia"/>
              </w:rPr>
              <w:t>。</w:t>
            </w:r>
          </w:p>
          <w:p>
            <w:pPr>
              <w:pStyle w:val="104"/>
            </w:pPr>
            <w:r>
              <w:t>仅适用于含有水产品的膳食</w:t>
            </w:r>
            <w:r>
              <w:rPr>
                <w:rFonts w:hint="eastAsia"/>
              </w:rPr>
              <w:t>。</w:t>
            </w:r>
          </w:p>
          <w:p>
            <w:pPr>
              <w:pStyle w:val="104"/>
            </w:pPr>
            <w:r>
              <w:t>适用于膳食中的牛肉制品。</w:t>
            </w:r>
          </w:p>
        </w:tc>
      </w:tr>
    </w:tbl>
    <w:p>
      <w:pPr>
        <w:pStyle w:val="108"/>
        <w:spacing w:before="120" w:after="120"/>
      </w:pPr>
      <w:r>
        <w:rPr>
          <w:rFonts w:hint="eastAsia"/>
        </w:rPr>
        <w:t>食品添加剂</w:t>
      </w:r>
    </w:p>
    <w:p>
      <w:pPr>
        <w:pStyle w:val="59"/>
        <w:ind w:firstLine="420"/>
      </w:pPr>
      <w:r>
        <w:rPr>
          <w:rFonts w:hint="eastAsia"/>
        </w:rPr>
        <w:t>食品添加剂的使用应符合GB 2760及国家相关规定。</w:t>
      </w:r>
    </w:p>
    <w:p>
      <w:pPr>
        <w:pStyle w:val="107"/>
      </w:pPr>
      <w:r>
        <w:rPr>
          <w:rFonts w:hint="eastAsia"/>
        </w:rPr>
        <w:t>安全</w:t>
      </w:r>
    </w:p>
    <w:bookmarkEnd w:id="18"/>
    <w:p>
      <w:pPr>
        <w:pStyle w:val="165"/>
      </w:pPr>
      <w:r>
        <w:rPr>
          <w:rFonts w:hint="eastAsia"/>
        </w:rPr>
        <w:t>餐饮服务单位应制定食品安全应急预案。</w:t>
      </w:r>
    </w:p>
    <w:p>
      <w:pPr>
        <w:pStyle w:val="165"/>
      </w:pPr>
      <w:r>
        <w:rPr>
          <w:rFonts w:hint="eastAsia"/>
        </w:rPr>
        <w:t>餐饮服务单位厨房设备应有专职人员定期检查与维护，并有维护检查记录。</w:t>
      </w:r>
    </w:p>
    <w:p>
      <w:pPr>
        <w:pStyle w:val="165"/>
      </w:pPr>
      <w:r>
        <w:rPr>
          <w:rFonts w:hint="eastAsia"/>
        </w:rPr>
        <w:t>应自行或委托第三方定期进行安全检查，及时发现并消除安全隐患，防止食品安全事故发生。</w:t>
      </w:r>
    </w:p>
    <w:p>
      <w:pPr>
        <w:pStyle w:val="165"/>
      </w:pPr>
      <w:r>
        <w:rPr>
          <w:rFonts w:hint="eastAsia"/>
        </w:rPr>
        <w:t>所有人员应按照要求定期进行消防安全知识培训。</w:t>
      </w:r>
    </w:p>
    <w:p>
      <w:pPr>
        <w:pStyle w:val="155"/>
        <w:rPr>
          <w:rFonts w:ascii="宋体" w:hAnsi="宋体"/>
          <w:kern w:val="2"/>
          <w:sz w:val="20"/>
        </w:rPr>
      </w:pPr>
      <w:r>
        <w:drawing>
          <wp:inline distT="0" distB="0" distL="0" distR="0">
            <wp:extent cx="1485900" cy="325120"/>
            <wp:effectExtent l="0" t="0" r="0" b="0"/>
            <wp:docPr id="1" name="图片 1" descr="C:\Users\ADMINI~1\AppData\Local\Temp\ksohtml43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43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85900" cy="325120"/>
                    </a:xfrm>
                    <a:prstGeom prst="rect">
                      <a:avLst/>
                    </a:prstGeom>
                    <a:noFill/>
                    <a:ln>
                      <a:noFill/>
                    </a:ln>
                  </pic:spPr>
                </pic:pic>
              </a:graphicData>
            </a:graphic>
          </wp:inline>
        </w:drawing>
      </w:r>
    </w:p>
    <w:sectPr>
      <w:headerReference r:id="rId9" w:type="default"/>
      <w:footerReference r:id="rId11" w:type="default"/>
      <w:headerReference r:id="rId10"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1276" w:firstLine="0"/>
      </w:pPr>
      <w:rPr>
        <w:rFonts w:hint="eastAsia" w:ascii="黑体" w:eastAsia="黑体"/>
        <w:b w:val="0"/>
        <w:i w:val="0"/>
        <w:sz w:val="21"/>
      </w:rPr>
    </w:lvl>
    <w:lvl w:ilvl="2" w:tentative="0">
      <w:start w:val="1"/>
      <w:numFmt w:val="decimal"/>
      <w:pStyle w:val="108"/>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1276" w:firstLine="0"/>
      </w:pPr>
      <w:rPr>
        <w:rFonts w:hint="eastAsia" w:ascii="黑体" w:eastAsia="黑体"/>
        <w:b w:val="0"/>
        <w:i w:val="0"/>
        <w:sz w:val="21"/>
      </w:rPr>
    </w:lvl>
    <w:lvl w:ilvl="4" w:tentative="0">
      <w:start w:val="1"/>
      <w:numFmt w:val="decimal"/>
      <w:pStyle w:val="97"/>
      <w:suff w:val="nothing"/>
      <w:lvlText w:val="%1%2.%3.%4.%5　"/>
      <w:lvlJc w:val="left"/>
      <w:pPr>
        <w:ind w:left="156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0Yjc2YWZkM2E1ZmUxOTU5NGI5MWMxZDVjMzMwZTYifQ=="/>
  </w:docVars>
  <w:rsids>
    <w:rsidRoot w:val="00BF5A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7B5"/>
    <w:rsid w:val="00060C2E"/>
    <w:rsid w:val="00061033"/>
    <w:rsid w:val="00061044"/>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17A94"/>
    <w:rsid w:val="00124E4F"/>
    <w:rsid w:val="001260B7"/>
    <w:rsid w:val="001265CB"/>
    <w:rsid w:val="001321C6"/>
    <w:rsid w:val="001325C4"/>
    <w:rsid w:val="00133010"/>
    <w:rsid w:val="001338EE"/>
    <w:rsid w:val="00133AAE"/>
    <w:rsid w:val="00135323"/>
    <w:rsid w:val="001356C4"/>
    <w:rsid w:val="00137565"/>
    <w:rsid w:val="00141114"/>
    <w:rsid w:val="00142969"/>
    <w:rsid w:val="0014467D"/>
    <w:rsid w:val="001446C2"/>
    <w:rsid w:val="001457E7"/>
    <w:rsid w:val="00145D9D"/>
    <w:rsid w:val="00146388"/>
    <w:rsid w:val="001512C7"/>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BA8"/>
    <w:rsid w:val="001A4CF3"/>
    <w:rsid w:val="001A6696"/>
    <w:rsid w:val="001B06E8"/>
    <w:rsid w:val="001B71D0"/>
    <w:rsid w:val="001B71EE"/>
    <w:rsid w:val="001C04A8"/>
    <w:rsid w:val="001C2C03"/>
    <w:rsid w:val="001C42F7"/>
    <w:rsid w:val="001C49E5"/>
    <w:rsid w:val="001C5FCF"/>
    <w:rsid w:val="001C680C"/>
    <w:rsid w:val="001C7FEA"/>
    <w:rsid w:val="001D0499"/>
    <w:rsid w:val="001D0BBE"/>
    <w:rsid w:val="001D0ED4"/>
    <w:rsid w:val="001D212F"/>
    <w:rsid w:val="001D29D7"/>
    <w:rsid w:val="001D2DE7"/>
    <w:rsid w:val="001D411C"/>
    <w:rsid w:val="001D5A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FFD"/>
    <w:rsid w:val="0020527B"/>
    <w:rsid w:val="00205F2C"/>
    <w:rsid w:val="00210B15"/>
    <w:rsid w:val="00213B19"/>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E04"/>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7F6D"/>
    <w:rsid w:val="003331E4"/>
    <w:rsid w:val="00336C64"/>
    <w:rsid w:val="00337162"/>
    <w:rsid w:val="0034194F"/>
    <w:rsid w:val="00344605"/>
    <w:rsid w:val="003474AA"/>
    <w:rsid w:val="00350D1D"/>
    <w:rsid w:val="00352C83"/>
    <w:rsid w:val="00352F1A"/>
    <w:rsid w:val="003606F1"/>
    <w:rsid w:val="0036107C"/>
    <w:rsid w:val="003615D2"/>
    <w:rsid w:val="0036429C"/>
    <w:rsid w:val="00364A53"/>
    <w:rsid w:val="00364B5C"/>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1FE1"/>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7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C7C"/>
    <w:rsid w:val="00561475"/>
    <w:rsid w:val="00562308"/>
    <w:rsid w:val="0056487B"/>
    <w:rsid w:val="00564FB9"/>
    <w:rsid w:val="00573D9E"/>
    <w:rsid w:val="005801E3"/>
    <w:rsid w:val="00580D64"/>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F56"/>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2DC"/>
    <w:rsid w:val="00672060"/>
    <w:rsid w:val="00672BFD"/>
    <w:rsid w:val="006770F4"/>
    <w:rsid w:val="00677A84"/>
    <w:rsid w:val="00677FE9"/>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D9B"/>
    <w:rsid w:val="00714F58"/>
    <w:rsid w:val="00721521"/>
    <w:rsid w:val="00722FBF"/>
    <w:rsid w:val="00722FC2"/>
    <w:rsid w:val="00724984"/>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A59"/>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42D"/>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61E"/>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D46"/>
    <w:rsid w:val="0089049D"/>
    <w:rsid w:val="008928C9"/>
    <w:rsid w:val="008930CB"/>
    <w:rsid w:val="008938DC"/>
    <w:rsid w:val="00893FD1"/>
    <w:rsid w:val="00894836"/>
    <w:rsid w:val="00895172"/>
    <w:rsid w:val="00895680"/>
    <w:rsid w:val="00896DFF"/>
    <w:rsid w:val="0089762C"/>
    <w:rsid w:val="008A173B"/>
    <w:rsid w:val="008A1893"/>
    <w:rsid w:val="008A2F54"/>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527"/>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A06"/>
    <w:rsid w:val="009F7BDB"/>
    <w:rsid w:val="00A0096C"/>
    <w:rsid w:val="00A01757"/>
    <w:rsid w:val="00A028C0"/>
    <w:rsid w:val="00A02BAE"/>
    <w:rsid w:val="00A06A6B"/>
    <w:rsid w:val="00A07E47"/>
    <w:rsid w:val="00A129D0"/>
    <w:rsid w:val="00A12C33"/>
    <w:rsid w:val="00A138BA"/>
    <w:rsid w:val="00A14C8E"/>
    <w:rsid w:val="00A153D9"/>
    <w:rsid w:val="00A15F09"/>
    <w:rsid w:val="00A169B6"/>
    <w:rsid w:val="00A17C49"/>
    <w:rsid w:val="00A2271D"/>
    <w:rsid w:val="00A237D5"/>
    <w:rsid w:val="00A273C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21C"/>
    <w:rsid w:val="00A8446B"/>
    <w:rsid w:val="00A8473F"/>
    <w:rsid w:val="00A862D6"/>
    <w:rsid w:val="00A8715E"/>
    <w:rsid w:val="00A9295B"/>
    <w:rsid w:val="00A93B09"/>
    <w:rsid w:val="00A93FA7"/>
    <w:rsid w:val="00A952D7"/>
    <w:rsid w:val="00A95F86"/>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C1B"/>
    <w:rsid w:val="00B72880"/>
    <w:rsid w:val="00B758BF"/>
    <w:rsid w:val="00B77EC8"/>
    <w:rsid w:val="00B827A6"/>
    <w:rsid w:val="00B831CE"/>
    <w:rsid w:val="00B8337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6BA"/>
    <w:rsid w:val="00BE5B52"/>
    <w:rsid w:val="00BE7B8D"/>
    <w:rsid w:val="00BF0993"/>
    <w:rsid w:val="00BF10A9"/>
    <w:rsid w:val="00BF114F"/>
    <w:rsid w:val="00BF1703"/>
    <w:rsid w:val="00BF231C"/>
    <w:rsid w:val="00BF51E5"/>
    <w:rsid w:val="00BF5A1D"/>
    <w:rsid w:val="00BF74A6"/>
    <w:rsid w:val="00C013AD"/>
    <w:rsid w:val="00C04904"/>
    <w:rsid w:val="00C056B3"/>
    <w:rsid w:val="00C103E5"/>
    <w:rsid w:val="00C10518"/>
    <w:rsid w:val="00C13319"/>
    <w:rsid w:val="00C13EE9"/>
    <w:rsid w:val="00C21540"/>
    <w:rsid w:val="00C21906"/>
    <w:rsid w:val="00C21BFA"/>
    <w:rsid w:val="00C24C8D"/>
    <w:rsid w:val="00C25FE2"/>
    <w:rsid w:val="00C26B53"/>
    <w:rsid w:val="00C279B2"/>
    <w:rsid w:val="00C33E50"/>
    <w:rsid w:val="00C34C20"/>
    <w:rsid w:val="00C35A3E"/>
    <w:rsid w:val="00C41E87"/>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313"/>
    <w:rsid w:val="00C754FC"/>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80E"/>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042"/>
    <w:rsid w:val="00D1067E"/>
    <w:rsid w:val="00D10F50"/>
    <w:rsid w:val="00D11272"/>
    <w:rsid w:val="00D126F5"/>
    <w:rsid w:val="00D1489E"/>
    <w:rsid w:val="00D20737"/>
    <w:rsid w:val="00D21E81"/>
    <w:rsid w:val="00D223DE"/>
    <w:rsid w:val="00D25E37"/>
    <w:rsid w:val="00D25F82"/>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C32"/>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1F02"/>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060"/>
    <w:rsid w:val="00E94AF0"/>
    <w:rsid w:val="00E94F3E"/>
    <w:rsid w:val="00E95D13"/>
    <w:rsid w:val="00E95DD3"/>
    <w:rsid w:val="00E969D5"/>
    <w:rsid w:val="00EA58D1"/>
    <w:rsid w:val="00EA61BC"/>
    <w:rsid w:val="00EA681A"/>
    <w:rsid w:val="00EA735B"/>
    <w:rsid w:val="00EB1E69"/>
    <w:rsid w:val="00EB2086"/>
    <w:rsid w:val="00EB31ED"/>
    <w:rsid w:val="00EB5EDF"/>
    <w:rsid w:val="00EB60FE"/>
    <w:rsid w:val="00EB74DB"/>
    <w:rsid w:val="00EC228A"/>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33A"/>
    <w:rsid w:val="00F11286"/>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5FA3"/>
    <w:rsid w:val="00F46496"/>
    <w:rsid w:val="00F474D0"/>
    <w:rsid w:val="00F50179"/>
    <w:rsid w:val="00F515EE"/>
    <w:rsid w:val="00F56511"/>
    <w:rsid w:val="00F6194E"/>
    <w:rsid w:val="00F623AC"/>
    <w:rsid w:val="00F6412A"/>
    <w:rsid w:val="00F65893"/>
    <w:rsid w:val="00F66A4A"/>
    <w:rsid w:val="00F71E22"/>
    <w:rsid w:val="00F72142"/>
    <w:rsid w:val="00F72AE7"/>
    <w:rsid w:val="00F75446"/>
    <w:rsid w:val="00F83081"/>
    <w:rsid w:val="00F833BA"/>
    <w:rsid w:val="00F84FD0"/>
    <w:rsid w:val="00F859A8"/>
    <w:rsid w:val="00F86D87"/>
    <w:rsid w:val="00F9108B"/>
    <w:rsid w:val="00F91349"/>
    <w:rsid w:val="00F93A8A"/>
    <w:rsid w:val="00F95248"/>
    <w:rsid w:val="00F956A9"/>
    <w:rsid w:val="00F963ED"/>
    <w:rsid w:val="00F966CF"/>
    <w:rsid w:val="00F96CAE"/>
    <w:rsid w:val="00F97C99"/>
    <w:rsid w:val="00FA5B01"/>
    <w:rsid w:val="00FA662D"/>
    <w:rsid w:val="00FA73B1"/>
    <w:rsid w:val="00FB0C1D"/>
    <w:rsid w:val="00FB0CB9"/>
    <w:rsid w:val="00FB231D"/>
    <w:rsid w:val="00FB45F1"/>
    <w:rsid w:val="00FB4A72"/>
    <w:rsid w:val="00FB54E8"/>
    <w:rsid w:val="00FB7054"/>
    <w:rsid w:val="00FB7A1A"/>
    <w:rsid w:val="00FC17B7"/>
    <w:rsid w:val="00FC2CB7"/>
    <w:rsid w:val="00FC4090"/>
    <w:rsid w:val="00FC55B4"/>
    <w:rsid w:val="00FD00E6"/>
    <w:rsid w:val="00FD09A1"/>
    <w:rsid w:val="00FD2A7C"/>
    <w:rsid w:val="00FD59EB"/>
    <w:rsid w:val="00FD7299"/>
    <w:rsid w:val="00FE1FBE"/>
    <w:rsid w:val="00FE3901"/>
    <w:rsid w:val="00FE39D3"/>
    <w:rsid w:val="00FE49C3"/>
    <w:rsid w:val="00FE4BCE"/>
    <w:rsid w:val="00FE54AE"/>
    <w:rsid w:val="00FE576A"/>
    <w:rsid w:val="00FE7E79"/>
    <w:rsid w:val="00FF3E7D"/>
    <w:rsid w:val="00FF3F3D"/>
    <w:rsid w:val="00FF5B99"/>
    <w:rsid w:val="00FF730C"/>
    <w:rsid w:val="00FF73F4"/>
    <w:rsid w:val="00FF7CE4"/>
    <w:rsid w:val="00FF7E39"/>
    <w:rsid w:val="0A1357D3"/>
    <w:rsid w:val="0E140CA3"/>
    <w:rsid w:val="0E745939"/>
    <w:rsid w:val="0F221505"/>
    <w:rsid w:val="10F020DC"/>
    <w:rsid w:val="122F22A3"/>
    <w:rsid w:val="1807337A"/>
    <w:rsid w:val="18E11E1D"/>
    <w:rsid w:val="1B1A4DC8"/>
    <w:rsid w:val="1BE834C2"/>
    <w:rsid w:val="1C783A8B"/>
    <w:rsid w:val="203A2CE5"/>
    <w:rsid w:val="22901236"/>
    <w:rsid w:val="2389415F"/>
    <w:rsid w:val="273E5B7B"/>
    <w:rsid w:val="28661C98"/>
    <w:rsid w:val="2EEC2C82"/>
    <w:rsid w:val="36624145"/>
    <w:rsid w:val="39504729"/>
    <w:rsid w:val="3D743139"/>
    <w:rsid w:val="3E111FAD"/>
    <w:rsid w:val="46740412"/>
    <w:rsid w:val="47975C19"/>
    <w:rsid w:val="480A3595"/>
    <w:rsid w:val="49865F45"/>
    <w:rsid w:val="4A285199"/>
    <w:rsid w:val="4BA24E69"/>
    <w:rsid w:val="4BB26B7D"/>
    <w:rsid w:val="4E4A7BFE"/>
    <w:rsid w:val="4E987916"/>
    <w:rsid w:val="4F177E52"/>
    <w:rsid w:val="500612B5"/>
    <w:rsid w:val="534A7FE3"/>
    <w:rsid w:val="53E750EC"/>
    <w:rsid w:val="569F0CB4"/>
    <w:rsid w:val="57574F5E"/>
    <w:rsid w:val="58E40592"/>
    <w:rsid w:val="59182625"/>
    <w:rsid w:val="5B2E445B"/>
    <w:rsid w:val="5EC0115A"/>
    <w:rsid w:val="6381535B"/>
    <w:rsid w:val="69180510"/>
    <w:rsid w:val="71DC5E53"/>
    <w:rsid w:val="75C613A5"/>
    <w:rsid w:val="76832756"/>
    <w:rsid w:val="79790FEC"/>
    <w:rsid w:val="7D6F7712"/>
    <w:rsid w:val="7EDE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9"/>
    <w:qFormat/>
    <w:uiPriority w:val="0"/>
    <w:pPr>
      <w:spacing w:line="240" w:lineRule="auto"/>
      <w:ind w:left="1" w:right="69" w:firstLine="420"/>
      <w:jc w:val="left"/>
    </w:pPr>
    <w:rPr>
      <w:rFonts w:ascii="宋体" w:hAnsi="宋体" w:cs="宋体"/>
      <w:color w:val="000000" w:themeColor="text1"/>
      <w:spacing w:val="6"/>
      <w:sz w:val="20"/>
      <w:szCs w:val="20"/>
      <w14:textFill>
        <w14:solidFill>
          <w14:schemeClr w14:val="tx1"/>
        </w14:solidFill>
      </w14:textFill>
    </w:r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Date"/>
    <w:basedOn w:val="1"/>
    <w:next w:val="1"/>
    <w:link w:val="235"/>
    <w:semiHidden/>
    <w:unhideWhenUsed/>
    <w:qFormat/>
    <w:uiPriority w:val="99"/>
    <w:pPr>
      <w:ind w:left="100" w:leftChars="2500"/>
    </w:p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qFormat/>
    <w:uiPriority w:val="99"/>
    <w:rPr>
      <w:sz w:val="24"/>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rFonts w:ascii="宋体" w:hAnsi="宋体" w:cs="宋体"/>
      <w:color w:val="000000" w:themeColor="text1"/>
      <w:spacing w:val="6"/>
      <w:kern w:val="2"/>
      <w14:textFill>
        <w14:solidFill>
          <w14:schemeClr w14:val="tx1"/>
        </w14:solidFill>
      </w14:textFill>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240" w:beforeLines="100" w:after="240" w:afterLines="100"/>
      <w:ind w:left="142"/>
      <w:jc w:val="both"/>
      <w:outlineLvl w:val="0"/>
    </w:pPr>
    <w:rPr>
      <w:rFonts w:ascii="黑体" w:hAnsi="Times New Roman" w:eastAsia="黑体" w:cs="Times New Roman"/>
      <w:color w:val="000000" w:themeColor="text1"/>
      <w:sz w:val="21"/>
      <w:lang w:val="en-US" w:eastAsia="zh-CN" w:bidi="ar-SA"/>
      <w14:textFill>
        <w14:solidFill>
          <w14:schemeClr w14:val="tx1"/>
        </w14:solidFill>
      </w14:textFill>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autoRedefine/>
    <w:qFormat/>
    <w:uiPriority w:val="0"/>
    <w:rPr>
      <w:rFonts w:ascii="黑体" w:eastAsia="黑体"/>
      <w:spacing w:val="85"/>
      <w:w w:val="100"/>
      <w:position w:val="3"/>
      <w:sz w:val="28"/>
      <w:szCs w:val="28"/>
    </w:rPr>
  </w:style>
  <w:style w:type="paragraph" w:customStyle="1" w:styleId="233">
    <w:name w:val="Table Text"/>
    <w:basedOn w:val="1"/>
    <w:autoRedefine/>
    <w:semiHidden/>
    <w:qFormat/>
    <w:uiPriority w:val="0"/>
    <w:rPr>
      <w:rFonts w:ascii="宋体" w:hAnsi="宋体" w:cs="宋体"/>
      <w:sz w:val="18"/>
      <w:szCs w:val="18"/>
      <w:lang w:eastAsia="en-US"/>
    </w:rPr>
  </w:style>
  <w:style w:type="table" w:customStyle="1" w:styleId="234">
    <w:name w:val="Table Normal"/>
    <w:autoRedefine/>
    <w:semiHidden/>
    <w:unhideWhenUsed/>
    <w:qFormat/>
    <w:uiPriority w:val="0"/>
    <w:tblPr>
      <w:tblCellMar>
        <w:top w:w="0" w:type="dxa"/>
        <w:left w:w="0" w:type="dxa"/>
        <w:bottom w:w="0" w:type="dxa"/>
        <w:right w:w="0" w:type="dxa"/>
      </w:tblCellMar>
    </w:tblPr>
  </w:style>
  <w:style w:type="character" w:customStyle="1" w:styleId="235">
    <w:name w:val="日期 Char"/>
    <w:basedOn w:val="31"/>
    <w:link w:val="17"/>
    <w:semiHidden/>
    <w:qFormat/>
    <w:uiPriority w:val="99"/>
    <w:rPr>
      <w:rFonts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E2E5B934A5D4C7AAA48884508E834ED"/>
        <w:style w:val=""/>
        <w:category>
          <w:name w:val="常规"/>
          <w:gallery w:val="placeholder"/>
        </w:category>
        <w:types>
          <w:type w:val="bbPlcHdr"/>
        </w:types>
        <w:behaviors>
          <w:behavior w:val="content"/>
        </w:behaviors>
        <w:description w:val=""/>
        <w:guid w:val="{F370DFEE-C349-4D4F-8FA4-102C07A18DEE}"/>
      </w:docPartPr>
      <w:docPartBody>
        <w:p>
          <w:pPr>
            <w:pStyle w:val="5"/>
          </w:pPr>
          <w:r>
            <w:rPr>
              <w:rStyle w:val="4"/>
              <w:rFonts w:hint="eastAsia"/>
            </w:rPr>
            <w:t>单击或点击此处输入文字。</w:t>
          </w:r>
        </w:p>
      </w:docPartBody>
    </w:docPart>
    <w:docPart>
      <w:docPartPr>
        <w:name w:val="3C6AA071A0D34735AD593B125E37C011"/>
        <w:style w:val=""/>
        <w:category>
          <w:name w:val="常规"/>
          <w:gallery w:val="placeholder"/>
        </w:category>
        <w:types>
          <w:type w:val="bbPlcHdr"/>
        </w:types>
        <w:behaviors>
          <w:behavior w:val="content"/>
        </w:behaviors>
        <w:description w:val=""/>
        <w:guid w:val="{42D75367-ADA7-436C-9968-0E6A133B59FC}"/>
      </w:docPartPr>
      <w:docPartBody>
        <w:p>
          <w:pPr>
            <w:pStyle w:val="6"/>
          </w:pPr>
          <w:r>
            <w:rPr>
              <w:rStyle w:val="4"/>
              <w:rFonts w:hint="eastAsia"/>
            </w:rPr>
            <w:t>选择一项。</w:t>
          </w:r>
        </w:p>
      </w:docPartBody>
    </w:docPart>
    <w:docPart>
      <w:docPartPr>
        <w:name w:val="DF3AAE8A0AE64B5AB15C4E3D8D326E0D"/>
        <w:style w:val=""/>
        <w:category>
          <w:name w:val="常规"/>
          <w:gallery w:val="placeholder"/>
        </w:category>
        <w:types>
          <w:type w:val="bbPlcHdr"/>
        </w:types>
        <w:behaviors>
          <w:behavior w:val="content"/>
        </w:behaviors>
        <w:description w:val=""/>
        <w:guid w:val="{60CFB73E-1F3F-4A21-A195-A1C3C1325E5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F3E"/>
    <w:rsid w:val="0027035E"/>
    <w:rsid w:val="002913EA"/>
    <w:rsid w:val="0031663C"/>
    <w:rsid w:val="006C1E52"/>
    <w:rsid w:val="00750F7E"/>
    <w:rsid w:val="007D571A"/>
    <w:rsid w:val="009A3326"/>
    <w:rsid w:val="00A03DA6"/>
    <w:rsid w:val="00AA43E6"/>
    <w:rsid w:val="00B829E7"/>
    <w:rsid w:val="00BF7F3E"/>
    <w:rsid w:val="00C246B0"/>
    <w:rsid w:val="00CF6459"/>
    <w:rsid w:val="00EF0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E2E5B934A5D4C7AAA48884508E834E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C6AA071A0D34735AD593B125E37C0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F3AAE8A0AE64B5AB15C4E3D8D326E0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A6371-B8B7-4292-A379-4E2342D336E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Pages>
  <Words>647</Words>
  <Characters>3690</Characters>
  <Lines>30</Lines>
  <Paragraphs>8</Paragraphs>
  <TotalTime>24</TotalTime>
  <ScaleCrop>false</ScaleCrop>
  <LinksUpToDate>false</LinksUpToDate>
  <CharactersWithSpaces>4329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2023-12-25T07:50:00Z</dcterms:created>
  <dc:creator>Microsoft</dc:creator>
  <dc:description>&lt;config cover="true" show_menu="true" version="1.0.0" doctype="SDKXY"&gt;_x000d_
&lt;/config&gt;</dc:description>
  <cp:lastModifiedBy>大鹏</cp:lastModifiedBy>
  <cp:lastPrinted>2021-02-02T08:22:00Z</cp:lastPrinted>
  <dcterms:modified xsi:type="dcterms:W3CDTF">2024-01-09T07:06:23Z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4392842F42F64F6FA7F095861C14D3D2_12</vt:lpwstr>
  </property>
</Properties>
</file>